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sz w:val="32"/>
          <w:szCs w:val="32"/>
        </w:rPr>
      </w:pPr>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w:t>
      </w:r>
      <w:r>
        <w:rPr>
          <w:rFonts w:ascii="黑体" w:hAnsi="宋体" w:eastAsia="黑体"/>
          <w:b/>
          <w:sz w:val="32"/>
          <w:szCs w:val="32"/>
        </w:rPr>
        <w:t>3</w:t>
      </w:r>
    </w:p>
    <w:p>
      <w:pPr>
        <w:pStyle w:val="19"/>
        <w:spacing w:after="120"/>
        <w:jc w:val="center"/>
        <w:rPr>
          <w:rFonts w:ascii="黑体" w:hAnsi="宋体" w:eastAsia="黑体"/>
          <w:b w:val="0"/>
          <w:sz w:val="32"/>
          <w:szCs w:val="32"/>
        </w:rPr>
      </w:pPr>
      <w:r>
        <w:rPr>
          <w:rFonts w:ascii="黑体" w:hAnsi="宋体" w:eastAsia="黑体"/>
          <w:b w:val="0"/>
          <w:sz w:val="32"/>
          <w:szCs w:val="32"/>
        </w:rPr>
        <w:pict>
          <v:shape id="AutoShape 4" o:spid="_x0000_s1026" o:spt="32" type="#_x0000_t32" style="position:absolute;left:0pt;margin-left:-3pt;margin-top:1.35pt;height:0pt;width:425.2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v:path arrowok="t"/>
            <v:fill on="f" focussize="0,0"/>
            <v:stroke weight="2.25pt" dashstyle="1 1" endcap="round"/>
            <v:imagedata o:title=""/>
            <o:lock v:ext="edit"/>
          </v:shape>
        </w:pict>
      </w:r>
      <w:r>
        <w:rPr>
          <w:rFonts w:ascii="黑体" w:hAnsi="宋体" w:eastAsia="黑体"/>
          <w:b w:val="0"/>
          <w:sz w:val="32"/>
          <w:szCs w:val="32"/>
        </w:rPr>
        <w:t>目录</w:t>
      </w:r>
    </w:p>
    <w:p>
      <w:pPr>
        <w:pStyle w:val="21"/>
        <w:numPr>
          <w:ilvl w:val="0"/>
          <w:numId w:val="1"/>
        </w:numPr>
        <w:ind w:firstLineChars="0"/>
        <w:rPr>
          <w:b/>
          <w:sz w:val="28"/>
          <w:szCs w:val="28"/>
        </w:rPr>
      </w:pPr>
      <w:r>
        <w:rPr>
          <w:rFonts w:hint="eastAsia"/>
          <w:b/>
          <w:sz w:val="28"/>
          <w:szCs w:val="28"/>
        </w:rPr>
        <w:t>国际</w:t>
      </w:r>
      <w:r>
        <w:rPr>
          <w:b/>
          <w:sz w:val="28"/>
          <w:szCs w:val="28"/>
        </w:rPr>
        <w:t>科技</w:t>
      </w:r>
      <w:r>
        <w:rPr>
          <w:rFonts w:hint="eastAsia"/>
          <w:b/>
          <w:sz w:val="28"/>
          <w:szCs w:val="28"/>
        </w:rPr>
        <w:t>合作动态</w:t>
      </w:r>
    </w:p>
    <w:sdt>
      <w:sdtPr>
        <w:rPr>
          <w:rFonts w:hint="eastAsia" w:hAnsi="Times New Roman" w:cs="Times New Roman" w:asciiTheme="minorHAnsi" w:eastAsiaTheme="minorEastAsia"/>
          <w:color w:val="auto"/>
          <w:sz w:val="21"/>
          <w:szCs w:val="22"/>
        </w:rPr>
        <w:id w:val="12528797"/>
      </w:sdtPr>
      <w:sdtEndPr>
        <w:rPr>
          <w:rFonts w:hint="default" w:ascii="仿宋_GB2312" w:eastAsia="仿宋_GB2312" w:hAnsiTheme="minorHAnsi" w:cstheme="minorBidi"/>
          <w:color w:val="000000" w:themeColor="text1"/>
          <w:sz w:val="28"/>
          <w:szCs w:val="28"/>
        </w:rPr>
      </w:sdtEndPr>
      <w:sdtContent>
        <w:p>
          <w:pPr>
            <w:pStyle w:val="8"/>
            <w:rPr>
              <w:rFonts w:asciiTheme="minorHAnsi" w:eastAsiaTheme="minorEastAsia"/>
              <w:color w:val="auto"/>
              <w:sz w:val="21"/>
              <w:szCs w:val="22"/>
            </w:rPr>
          </w:pPr>
          <w:r>
            <w:rPr>
              <w:rFonts w:hint="eastAsia" w:hAnsi="Times New Roman" w:cs="Times New Roman"/>
            </w:rPr>
            <w:fldChar w:fldCharType="begin"/>
          </w:r>
          <w:r>
            <w:rPr>
              <w:rFonts w:hint="eastAsia" w:hAnsi="Times New Roman" w:cs="Times New Roman"/>
            </w:rPr>
            <w:instrText xml:space="preserve"> TOC \o "1-3" \n \h \z \u </w:instrText>
          </w:r>
          <w:r>
            <w:rPr>
              <w:rFonts w:hint="eastAsia" w:hAnsi="Times New Roman" w:cs="Times New Roman"/>
            </w:rPr>
            <w:fldChar w:fldCharType="separate"/>
          </w:r>
          <w:r>
            <w:fldChar w:fldCharType="begin"/>
          </w:r>
          <w:r>
            <w:instrText xml:space="preserve"> HYPERLINK \l "_Toc449615739" </w:instrText>
          </w:r>
          <w:r>
            <w:fldChar w:fldCharType="separate"/>
          </w:r>
          <w:r>
            <w:rPr>
              <w:rStyle w:val="13"/>
              <w:rFonts w:hint="eastAsia"/>
            </w:rPr>
            <w:t>美国能源部助理副部长到访科技部</w:t>
          </w:r>
          <w:r>
            <w:rPr>
              <w:rStyle w:val="13"/>
              <w:rFonts w:hint="eastAsia"/>
            </w:rPr>
            <w:fldChar w:fldCharType="end"/>
          </w:r>
        </w:p>
        <w:p>
          <w:pPr>
            <w:pStyle w:val="8"/>
            <w:rPr>
              <w:rFonts w:asciiTheme="minorHAnsi" w:eastAsiaTheme="minorEastAsia"/>
              <w:color w:val="auto"/>
              <w:sz w:val="21"/>
              <w:szCs w:val="22"/>
            </w:rPr>
          </w:pPr>
          <w:r>
            <w:fldChar w:fldCharType="begin"/>
          </w:r>
          <w:r>
            <w:instrText xml:space="preserve"> HYPERLINK \l "_Toc449615740" </w:instrText>
          </w:r>
          <w:r>
            <w:fldChar w:fldCharType="separate"/>
          </w:r>
          <w:r>
            <w:rPr>
              <w:rStyle w:val="13"/>
              <w:rFonts w:hint="eastAsia"/>
            </w:rPr>
            <w:t>科技部副部长阴和俊会见</w:t>
          </w:r>
          <w:r>
            <w:rPr>
              <w:rStyle w:val="13"/>
            </w:rPr>
            <w:t>ITER</w:t>
          </w:r>
          <w:r>
            <w:rPr>
              <w:rStyle w:val="13"/>
              <w:rFonts w:hint="eastAsia"/>
            </w:rPr>
            <w:t>理事会欧盟代表团团长一行</w:t>
          </w:r>
          <w:r>
            <w:rPr>
              <w:rStyle w:val="13"/>
              <w:rFonts w:hint="eastAsia"/>
            </w:rPr>
            <w:fldChar w:fldCharType="end"/>
          </w:r>
        </w:p>
        <w:p>
          <w:pPr>
            <w:pStyle w:val="8"/>
            <w:rPr>
              <w:rStyle w:val="13"/>
              <w:rFonts w:hint="eastAsia"/>
            </w:rPr>
          </w:pPr>
          <w:r>
            <w:fldChar w:fldCharType="begin"/>
          </w:r>
          <w:r>
            <w:instrText xml:space="preserve"> HYPERLINK \l "_Toc449615741" </w:instrText>
          </w:r>
          <w:r>
            <w:fldChar w:fldCharType="separate"/>
          </w:r>
          <w:r>
            <w:rPr>
              <w:rStyle w:val="13"/>
              <w:rFonts w:hint="eastAsia"/>
            </w:rPr>
            <w:t>第二届金砖国家科技创新资金资助方会议在京召开</w:t>
          </w:r>
          <w:r>
            <w:rPr>
              <w:rStyle w:val="13"/>
              <w:rFonts w:hint="eastAsia"/>
            </w:rPr>
            <w:fldChar w:fldCharType="end"/>
          </w:r>
        </w:p>
        <w:p>
          <w:pPr>
            <w:numPr>
              <w:ilvl w:val="0"/>
              <w:numId w:val="1"/>
            </w:numPr>
            <w:spacing w:line="480" w:lineRule="auto"/>
            <w:rPr>
              <w:b/>
              <w:sz w:val="28"/>
              <w:szCs w:val="28"/>
            </w:rPr>
          </w:pPr>
          <w:r>
            <w:rPr>
              <w:rFonts w:hint="eastAsia"/>
              <w:b/>
              <w:sz w:val="28"/>
              <w:szCs w:val="28"/>
            </w:rPr>
            <w:t>科技</w:t>
          </w:r>
          <w:r>
            <w:rPr>
              <w:b/>
              <w:sz w:val="28"/>
              <w:szCs w:val="28"/>
            </w:rPr>
            <w:t>改革与创新</w:t>
          </w:r>
        </w:p>
        <w:p>
          <w:pPr>
            <w:pStyle w:val="8"/>
            <w:rPr>
              <w:rFonts w:asciiTheme="minorHAnsi" w:eastAsiaTheme="minorEastAsia"/>
              <w:color w:val="auto"/>
              <w:sz w:val="21"/>
              <w:szCs w:val="22"/>
            </w:rPr>
          </w:pPr>
          <w:r>
            <w:fldChar w:fldCharType="begin"/>
          </w:r>
          <w:r>
            <w:instrText xml:space="preserve"> HYPERLINK \l "_Toc449615742" </w:instrText>
          </w:r>
          <w:r>
            <w:fldChar w:fldCharType="separate"/>
          </w:r>
          <w:r>
            <w:rPr>
              <w:rStyle w:val="13"/>
              <w:rFonts w:hint="eastAsia"/>
            </w:rPr>
            <w:t>科技部长谈科技改革与创新发展</w:t>
          </w:r>
          <w:r>
            <w:rPr>
              <w:rStyle w:val="13"/>
              <w:rFonts w:hint="eastAsia"/>
            </w:rPr>
            <w:fldChar w:fldCharType="end"/>
          </w:r>
        </w:p>
        <w:p>
          <w:pPr>
            <w:pStyle w:val="8"/>
            <w:rPr>
              <w:rFonts w:asciiTheme="minorHAnsi" w:eastAsiaTheme="minorEastAsia"/>
              <w:color w:val="auto"/>
              <w:sz w:val="21"/>
              <w:szCs w:val="22"/>
            </w:rPr>
          </w:pPr>
          <w:r>
            <w:fldChar w:fldCharType="begin"/>
          </w:r>
          <w:r>
            <w:instrText xml:space="preserve"> HYPERLINK \l "_Toc449615743" </w:instrText>
          </w:r>
          <w:r>
            <w:fldChar w:fldCharType="separate"/>
          </w:r>
          <w:r>
            <w:rPr>
              <w:rStyle w:val="13"/>
              <w:rFonts w:hint="eastAsia"/>
            </w:rPr>
            <w:t>中国研发投入强度持续增长</w:t>
          </w:r>
          <w:r>
            <w:rPr>
              <w:rStyle w:val="13"/>
              <w:rFonts w:hint="eastAsia"/>
            </w:rPr>
            <w:fldChar w:fldCharType="end"/>
          </w:r>
        </w:p>
        <w:p>
          <w:pPr>
            <w:pStyle w:val="8"/>
            <w:rPr>
              <w:rFonts w:asciiTheme="minorHAnsi" w:eastAsiaTheme="minorEastAsia"/>
              <w:color w:val="auto"/>
              <w:sz w:val="21"/>
              <w:szCs w:val="22"/>
            </w:rPr>
          </w:pPr>
          <w:r>
            <w:fldChar w:fldCharType="begin"/>
          </w:r>
          <w:r>
            <w:instrText xml:space="preserve"> HYPERLINK \l "_Toc449615744" </w:instrText>
          </w:r>
          <w:r>
            <w:fldChar w:fldCharType="separate"/>
          </w:r>
          <w:r>
            <w:rPr>
              <w:rStyle w:val="13"/>
              <w:rFonts w:hint="eastAsia"/>
            </w:rPr>
            <w:t>中国成为世界知识产权增长主要推动者</w:t>
          </w:r>
          <w:r>
            <w:rPr>
              <w:rStyle w:val="13"/>
              <w:rFonts w:hint="eastAsia"/>
            </w:rPr>
            <w:fldChar w:fldCharType="end"/>
          </w:r>
        </w:p>
        <w:p>
          <w:pPr>
            <w:pStyle w:val="8"/>
            <w:rPr>
              <w:rFonts w:asciiTheme="minorHAnsi" w:eastAsiaTheme="minorEastAsia"/>
              <w:color w:val="auto"/>
              <w:sz w:val="21"/>
              <w:szCs w:val="22"/>
            </w:rPr>
          </w:pPr>
          <w:r>
            <w:fldChar w:fldCharType="begin"/>
          </w:r>
          <w:r>
            <w:instrText xml:space="preserve"> HYPERLINK \l "_Toc449615745" </w:instrText>
          </w:r>
          <w:r>
            <w:fldChar w:fldCharType="separate"/>
          </w:r>
          <w:r>
            <w:rPr>
              <w:rStyle w:val="13"/>
              <w:rFonts w:hint="eastAsia"/>
            </w:rPr>
            <w:t>美国专家谈中国创新</w:t>
          </w:r>
          <w:r>
            <w:rPr>
              <w:rStyle w:val="13"/>
              <w:rFonts w:hint="eastAsia"/>
            </w:rPr>
            <w:fldChar w:fldCharType="end"/>
          </w:r>
        </w:p>
        <w:p>
          <w:pPr>
            <w:pStyle w:val="8"/>
            <w:rPr>
              <w:rFonts w:asciiTheme="minorHAnsi" w:eastAsiaTheme="minorEastAsia"/>
              <w:color w:val="auto"/>
              <w:sz w:val="21"/>
              <w:szCs w:val="22"/>
            </w:rPr>
          </w:pPr>
          <w:r>
            <w:fldChar w:fldCharType="begin"/>
          </w:r>
          <w:r>
            <w:instrText xml:space="preserve"> HYPERLINK \l "_Toc449615746" </w:instrText>
          </w:r>
          <w:r>
            <w:fldChar w:fldCharType="separate"/>
          </w:r>
          <w:r>
            <w:rPr>
              <w:rStyle w:val="13"/>
              <w:rFonts w:hint="eastAsia"/>
            </w:rPr>
            <w:t>中国的区域创新能力报告发布</w:t>
          </w:r>
          <w:r>
            <w:rPr>
              <w:rStyle w:val="13"/>
              <w:rFonts w:hint="eastAsia"/>
            </w:rPr>
            <w:fldChar w:fldCharType="end"/>
          </w:r>
        </w:p>
        <w:p>
          <w:pPr>
            <w:pStyle w:val="8"/>
            <w:rPr>
              <w:rStyle w:val="13"/>
              <w:rFonts w:hint="eastAsia"/>
            </w:rPr>
          </w:pPr>
          <w:r>
            <w:fldChar w:fldCharType="begin"/>
          </w:r>
          <w:r>
            <w:instrText xml:space="preserve"> HYPERLINK \l "_Toc449615747" </w:instrText>
          </w:r>
          <w:r>
            <w:fldChar w:fldCharType="separate"/>
          </w:r>
          <w:r>
            <w:rPr>
              <w:rStyle w:val="13"/>
              <w:rFonts w:hint="eastAsia"/>
            </w:rPr>
            <w:t>中国迎来第四次创业浪潮</w:t>
          </w:r>
          <w:r>
            <w:rPr>
              <w:rStyle w:val="13"/>
              <w:rFonts w:hint="eastAsia"/>
            </w:rPr>
            <w:fldChar w:fldCharType="end"/>
          </w:r>
        </w:p>
        <w:p>
          <w:pPr>
            <w:pStyle w:val="8"/>
          </w:pPr>
          <w:r>
            <w:rPr>
              <w:rFonts w:hint="eastAsia" w:hAnsi="Times New Roman" w:cs="Times New Roman"/>
            </w:rPr>
            <w:fldChar w:fldCharType="end"/>
          </w:r>
        </w:p>
      </w:sdtContent>
    </w:sdt>
    <w:p>
      <w:pPr/>
      <w:r>
        <w:rPr>
          <w:rFonts w:ascii="黑体" w:hAnsi="宋体" w:eastAsia="黑体"/>
          <w:b/>
          <w:sz w:val="32"/>
          <w:szCs w:val="32"/>
        </w:rPr>
        <w:pict>
          <v:shape id="_x0000_s1027" o:spid="_x0000_s1027" o:spt="32" type="#_x0000_t32" style="position:absolute;left:0pt;margin-left:-3pt;margin-top:1.35pt;height:0pt;width:425.2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L6lOekxAgAAYAQAAA4AAAAAAAAAAAAAAAAALgIA&#10;AGRycy9lMm9Eb2MueG1sUEsBAi0AFAAGAAgAAAAhAO3yZLDdAAAABgEAAA8AAAAAAAAAAAAAAAAA&#10;iwQAAGRycy9kb3ducmV2LnhtbFBLBQYAAAAABAAEAPMAAACVBQAAAAA=&#10;">
            <v:path arrowok="t"/>
            <v:fill on="f" focussize="0,0"/>
            <v:stroke weight="2.25pt" dashstyle="1 1" endcap="round"/>
            <v:imagedata o:title=""/>
            <o:lock v:ext="edit"/>
          </v:shape>
        </w:pict>
      </w:r>
    </w:p>
    <w:p>
      <w:pPr>
        <w:pStyle w:val="21"/>
        <w:numPr>
          <w:ilvl w:val="0"/>
          <w:numId w:val="1"/>
        </w:numPr>
        <w:ind w:firstLineChars="0"/>
        <w:rPr>
          <w:b/>
          <w:sz w:val="28"/>
          <w:szCs w:val="28"/>
        </w:rPr>
      </w:pPr>
      <w:r>
        <w:rPr>
          <w:rFonts w:hint="eastAsia"/>
          <w:b/>
          <w:sz w:val="28"/>
          <w:szCs w:val="28"/>
        </w:rPr>
        <w:t>国际</w:t>
      </w:r>
      <w:r>
        <w:rPr>
          <w:b/>
          <w:sz w:val="28"/>
          <w:szCs w:val="28"/>
        </w:rPr>
        <w:t>科技</w:t>
      </w:r>
      <w:r>
        <w:rPr>
          <w:rFonts w:hint="eastAsia"/>
          <w:b/>
          <w:sz w:val="28"/>
          <w:szCs w:val="28"/>
        </w:rPr>
        <w:t>合作动态</w:t>
      </w:r>
    </w:p>
    <w:p>
      <w:pPr>
        <w:pStyle w:val="10"/>
      </w:pPr>
      <w:bookmarkStart w:id="0" w:name="_Toc449615739"/>
      <w:r>
        <w:rPr>
          <w:rFonts w:hint="eastAsia"/>
          <w:bCs w:val="0"/>
        </w:rPr>
        <w:t>美国能源部助理副部长到访科技部</w:t>
      </w:r>
      <w:bookmarkEnd w:id="0"/>
    </w:p>
    <w:p>
      <w:pPr>
        <w:spacing w:line="360" w:lineRule="exact"/>
        <w:jc w:val="right"/>
        <w:rPr>
          <w:bCs/>
        </w:rPr>
      </w:pPr>
    </w:p>
    <w:p>
      <w:pPr>
        <w:spacing w:line="360" w:lineRule="exact"/>
        <w:rPr>
          <w:rStyle w:val="12"/>
          <w:b w:val="0"/>
        </w:rPr>
      </w:pPr>
      <w:r>
        <w:rPr>
          <w:rStyle w:val="12"/>
          <w:b w:val="0"/>
        </w:rPr>
        <w:tab/>
      </w:r>
      <w:r>
        <w:rPr>
          <w:rStyle w:val="12"/>
          <w:rFonts w:hint="eastAsia"/>
          <w:b w:val="0"/>
        </w:rPr>
        <w:t>2016年1月28日，美国能源部助理副部长到访</w:t>
      </w:r>
      <w:r>
        <w:rPr>
          <w:rStyle w:val="12"/>
          <w:b w:val="0"/>
        </w:rPr>
        <w:t>科技部</w:t>
      </w:r>
      <w:r>
        <w:rPr>
          <w:rStyle w:val="12"/>
          <w:rFonts w:hint="eastAsia"/>
          <w:b w:val="0"/>
        </w:rPr>
        <w:t>，就中国与美国在清洁能源部长级会议（CEM）机制下及联合国气候变化巴黎大会（COP21）期间宣布的“创新使命</w:t>
      </w:r>
      <w:r>
        <w:rPr>
          <w:rStyle w:val="12"/>
          <w:rFonts w:hint="eastAsia"/>
          <w:b w:val="0"/>
          <w:lang w:eastAsia="zh-CN"/>
        </w:rPr>
        <w:t>（</w:t>
      </w:r>
      <w:r>
        <w:rPr>
          <w:rStyle w:val="12"/>
          <w:rFonts w:hint="eastAsia"/>
          <w:b w:val="0"/>
        </w:rPr>
        <w:t>Mission Innovation</w:t>
      </w:r>
      <w:r>
        <w:rPr>
          <w:rStyle w:val="12"/>
          <w:rFonts w:hint="eastAsia"/>
          <w:b w:val="0"/>
          <w:lang w:eastAsia="zh-CN"/>
        </w:rPr>
        <w:t>）</w:t>
      </w:r>
      <w:r>
        <w:rPr>
          <w:rStyle w:val="12"/>
          <w:rFonts w:hint="eastAsia"/>
          <w:b w:val="0"/>
        </w:rPr>
        <w:t>”倡议下开展的合作进行了深入的讨论。双方回顾了多年来在CEM机制下开展的合作，并重点围绕将于美国举行的第七届清洁能源部长级会议（CEM7）和将于中国举行的预备会</w:t>
      </w:r>
      <w:r>
        <w:rPr>
          <w:rStyle w:val="12"/>
          <w:rFonts w:hint="eastAsia"/>
          <w:b w:val="0"/>
          <w:lang w:eastAsia="zh-CN"/>
        </w:rPr>
        <w:t>（</w:t>
      </w:r>
      <w:r>
        <w:rPr>
          <w:rStyle w:val="12"/>
          <w:rFonts w:hint="eastAsia"/>
          <w:b w:val="0"/>
        </w:rPr>
        <w:t>CEM7 Prep</w:t>
      </w:r>
      <w:r>
        <w:rPr>
          <w:rStyle w:val="12"/>
          <w:rFonts w:hint="eastAsia"/>
          <w:b w:val="0"/>
          <w:lang w:eastAsia="zh-CN"/>
        </w:rPr>
        <w:t>）</w:t>
      </w:r>
      <w:r>
        <w:rPr>
          <w:rStyle w:val="12"/>
          <w:rFonts w:hint="eastAsia"/>
          <w:b w:val="0"/>
        </w:rPr>
        <w:t>的筹备情况交流了意见。双方还就CEM指导委员会及其下设工作组、CEM秘书处的设置，“电动汽车2.0（EVI2.0）”倡议落实以及“创新使命”下一阶段工作等议题交换了意见。</w:t>
      </w:r>
    </w:p>
    <w:p>
      <w:pPr>
        <w:spacing w:line="360" w:lineRule="exact"/>
        <w:jc w:val="right"/>
        <w:rPr>
          <w:rStyle w:val="12"/>
          <w:b w:val="0"/>
        </w:rPr>
      </w:pPr>
      <w:r>
        <w:rPr>
          <w:rStyle w:val="12"/>
          <w:rFonts w:hint="eastAsia"/>
          <w:b w:val="0"/>
        </w:rPr>
        <w:t>（来源：科技部，2016年02月14日）</w:t>
      </w:r>
    </w:p>
    <w:p>
      <w:pPr>
        <w:pStyle w:val="10"/>
      </w:pPr>
      <w:bookmarkStart w:id="1" w:name="_Toc449615740"/>
      <w:r>
        <w:rPr>
          <w:rFonts w:hint="eastAsia"/>
        </w:rPr>
        <w:t>科技部副部长阴和俊会见ITER理事会欧盟代表团团长一行</w:t>
      </w:r>
      <w:bookmarkEnd w:id="1"/>
    </w:p>
    <w:p>
      <w:pPr>
        <w:spacing w:line="360" w:lineRule="exact"/>
        <w:rPr>
          <w:bCs/>
        </w:rPr>
      </w:pPr>
      <w:r>
        <w:tab/>
      </w:r>
      <w:r>
        <w:rPr>
          <w:rFonts w:hint="eastAsia"/>
        </w:rPr>
        <w:t>2016年1月15日上午，科技部副部长阴和俊会见了国际热核聚变实验堆计划国际聚变能组织（ITER组织）理事会欧盟代表团团长、欧盟能源总司副司长托马斯先生一行。双方就ITER计划现阶段执行过程中的重要议题，如项目长期进度、独立评估及第一等离子体时间等深入交换了意见。阴和俊副部长表示中国政府高度重视ITER计划，并对各方在ITER计划共同努力下所取得的瞩目成果表示了肯定。阴和俊副部长在会谈中强调，核聚变能源对环境和未来能源发展具有十分重要的作用，ITER计划在推动技术发展、促进政府间合作以及科学人员交流方面将产生深远影响。随后，双方深入交换了对ITER计划现阶段主要挑战和存在问题的看法。</w:t>
      </w:r>
    </w:p>
    <w:p>
      <w:pPr>
        <w:spacing w:line="360" w:lineRule="exact"/>
        <w:jc w:val="right"/>
      </w:pPr>
      <w:r>
        <w:rPr>
          <w:rFonts w:hint="eastAsia"/>
        </w:rPr>
        <w:t>（来源：科技部网站，2016年02月06日）</w:t>
      </w:r>
    </w:p>
    <w:p>
      <w:pPr>
        <w:pStyle w:val="10"/>
      </w:pPr>
      <w:bookmarkStart w:id="2" w:name="_Toc449615741"/>
      <w:r>
        <w:rPr>
          <w:rFonts w:hint="eastAsia"/>
        </w:rPr>
        <w:t>第二届金砖国家科技创新资金资助方会议在京召开</w:t>
      </w:r>
      <w:bookmarkEnd w:id="2"/>
    </w:p>
    <w:p>
      <w:pPr>
        <w:widowControl/>
        <w:shd w:val="clear" w:color="auto" w:fill="FFFFFF"/>
        <w:spacing w:line="360" w:lineRule="exact"/>
        <w:ind w:firstLine="420" w:firstLineChars="200"/>
        <w:jc w:val="left"/>
        <w:rPr>
          <w:rFonts w:asciiTheme="minorEastAsia" w:hAnsiTheme="minorEastAsia"/>
        </w:rPr>
      </w:pPr>
      <w:r>
        <w:rPr>
          <w:rFonts w:hint="eastAsia" w:asciiTheme="minorEastAsia" w:hAnsiTheme="minorEastAsia"/>
        </w:rPr>
        <w:t>2016年1月19-20日，第二届金砖国家科技创新资金资助方会议暨第一届资助方工作组会议在京召开。来自金砖五国的代表近40人参会，会议由主席国俄罗斯代表主持。</w:t>
      </w:r>
    </w:p>
    <w:p>
      <w:pPr>
        <w:widowControl/>
        <w:shd w:val="clear" w:color="auto" w:fill="FFFFFF"/>
        <w:spacing w:line="360" w:lineRule="exact"/>
        <w:ind w:firstLine="420"/>
        <w:jc w:val="left"/>
        <w:rPr>
          <w:rFonts w:asciiTheme="minorEastAsia" w:hAnsiTheme="minorEastAsia"/>
        </w:rPr>
      </w:pPr>
      <w:r>
        <w:rPr>
          <w:rFonts w:hint="eastAsia" w:asciiTheme="minorEastAsia" w:hAnsiTheme="minorEastAsia"/>
        </w:rPr>
        <w:t>金砖国家是新兴发展中国家最重要的合作机制。近年来，金砖国家间科技创新合作取得了卓有成效的进展。为落实2015年3月在巴西召开的第2届金砖国家科技创新部长级会议、2015年7月在俄罗斯召开的首届金砖国家科技创新资金资助方会议以及10月在俄罗斯召开的第3届金砖国家科技创新部长级会议精神，来自金砖五国各资金资助方的代表聚集北京，共同探讨了金砖国家联合征集项目的重点领域、资金安排、资助原则、资助机制以及工作组运行等重要内容并就多个议题达成了共识。</w:t>
      </w:r>
    </w:p>
    <w:p>
      <w:pPr>
        <w:widowControl/>
        <w:shd w:val="clear" w:color="auto" w:fill="FFFFFF"/>
        <w:spacing w:line="360" w:lineRule="exact"/>
        <w:ind w:firstLine="420"/>
        <w:jc w:val="left"/>
        <w:rPr>
          <w:rFonts w:asciiTheme="minorEastAsia" w:hAnsiTheme="minorEastAsia"/>
        </w:rPr>
      </w:pPr>
      <w:r>
        <w:rPr>
          <w:rFonts w:hint="eastAsia" w:asciiTheme="minorEastAsia" w:hAnsiTheme="minorEastAsia"/>
        </w:rPr>
        <w:t>会议商定金砖五国将启动联合征集项目，计划于年内发布首批项目征集指南。</w:t>
      </w:r>
    </w:p>
    <w:p>
      <w:pPr>
        <w:widowControl/>
        <w:shd w:val="clear" w:color="auto" w:fill="FFFFFF"/>
        <w:spacing w:line="360" w:lineRule="exact"/>
        <w:jc w:val="right"/>
      </w:pPr>
      <w:r>
        <w:rPr>
          <w:rFonts w:hint="eastAsia"/>
        </w:rPr>
        <w:t>（来源：科技部网站，2016年02月06日）</w:t>
      </w:r>
    </w:p>
    <w:p>
      <w:pPr>
        <w:widowControl/>
        <w:shd w:val="clear" w:color="auto" w:fill="FFFFFF"/>
        <w:spacing w:line="360" w:lineRule="exact"/>
        <w:jc w:val="right"/>
        <w:rPr>
          <w:rFonts w:asciiTheme="minorEastAsia" w:hAnsiTheme="minorEastAsia"/>
        </w:rPr>
      </w:pPr>
    </w:p>
    <w:p>
      <w:pPr>
        <w:numPr>
          <w:ilvl w:val="0"/>
          <w:numId w:val="1"/>
        </w:numPr>
        <w:spacing w:line="480" w:lineRule="auto"/>
        <w:rPr>
          <w:b/>
          <w:sz w:val="28"/>
          <w:szCs w:val="28"/>
        </w:rPr>
      </w:pPr>
      <w:r>
        <w:rPr>
          <w:rFonts w:hint="eastAsia"/>
          <w:b/>
          <w:sz w:val="28"/>
          <w:szCs w:val="28"/>
        </w:rPr>
        <w:t>科技</w:t>
      </w:r>
      <w:r>
        <w:rPr>
          <w:b/>
          <w:sz w:val="28"/>
          <w:szCs w:val="28"/>
        </w:rPr>
        <w:t>改革与创新</w:t>
      </w:r>
    </w:p>
    <w:p>
      <w:pPr>
        <w:pStyle w:val="10"/>
        <w:rPr>
          <w:rFonts w:hint="eastAsia" w:ascii="ˎ̥" w:hAnsi="ˎ̥" w:eastAsia="宋体" w:cs="宋体"/>
          <w:color w:val="2A2A2A"/>
          <w:kern w:val="0"/>
          <w:sz w:val="23"/>
          <w:szCs w:val="23"/>
        </w:rPr>
      </w:pPr>
      <w:bookmarkStart w:id="3" w:name="_Toc449615742"/>
      <w:r>
        <w:rPr>
          <w:rFonts w:hint="eastAsia"/>
        </w:rPr>
        <w:t>科技</w:t>
      </w:r>
      <w:r>
        <w:t>部长谈</w:t>
      </w:r>
      <w:r>
        <w:rPr>
          <w:rFonts w:hint="eastAsia"/>
        </w:rPr>
        <w:t>科技</w:t>
      </w:r>
      <w:r>
        <w:t>改革与创新发展</w:t>
      </w:r>
      <w:bookmarkEnd w:id="3"/>
      <w:r>
        <w:rPr>
          <w:rFonts w:asciiTheme="minorEastAsia" w:hAnsiTheme="minorEastAsia"/>
        </w:rPr>
        <w:tab/>
      </w:r>
    </w:p>
    <w:p>
      <w:pPr>
        <w:widowControl/>
        <w:shd w:val="clear" w:color="auto" w:fill="FFFFFF"/>
        <w:spacing w:line="360" w:lineRule="exact"/>
      </w:pPr>
      <w:r>
        <w:tab/>
      </w:r>
      <w:r>
        <w:rPr>
          <w:rFonts w:hint="eastAsia"/>
        </w:rPr>
        <w:t>2016年2月24日，在国新办举行的题为“科技改革与创新发展”发布会上，科技部部长万钢透露，“十二五”以来，我国科技资源配置、计划管理改革、科技成果转化和人才评价等重大举措取得突破性进展；经过持续努力，我国重大成果和顶尖人才不断涌现、大众创业万众创新蓬勃兴起、科技创新能力显著增强，步入“三跑并存”的历史新阶段。</w:t>
      </w:r>
    </w:p>
    <w:p>
      <w:pPr>
        <w:widowControl/>
        <w:shd w:val="clear" w:color="auto" w:fill="FFFFFF"/>
        <w:spacing w:line="360" w:lineRule="exact"/>
        <w:rPr>
          <w:b/>
        </w:rPr>
      </w:pPr>
      <w:r>
        <w:rPr>
          <w:rFonts w:hint="eastAsia"/>
          <w:b/>
        </w:rPr>
        <w:t>科技创新支撑国计民生</w:t>
      </w:r>
    </w:p>
    <w:p>
      <w:pPr>
        <w:widowControl/>
        <w:shd w:val="clear" w:color="auto" w:fill="FFFFFF"/>
        <w:spacing w:line="360" w:lineRule="exact"/>
        <w:rPr>
          <w:b/>
        </w:rPr>
      </w:pPr>
      <w:r>
        <w:rPr>
          <w:b/>
        </w:rPr>
        <w:tab/>
      </w:r>
      <w:r>
        <w:rPr>
          <w:rFonts w:hint="eastAsia"/>
        </w:rPr>
        <w:t>科技创新加速突破应用，正在推动新动能不断成长，促进传统动能改造提升。具体表现</w:t>
      </w:r>
      <w:r>
        <w:t>在两方面：</w:t>
      </w:r>
      <w:r>
        <w:rPr>
          <w:rFonts w:hint="eastAsia"/>
        </w:rPr>
        <w:t>一是科技创新支撑产业转型升级，重大科技项目形成新产能。科技进步贡献率由50.9%增加到55.1%。二是战略高技术贴近民生进入市场，创造新市场新消费。</w:t>
      </w:r>
    </w:p>
    <w:p>
      <w:pPr>
        <w:widowControl/>
        <w:shd w:val="clear" w:color="auto" w:fill="FFFFFF"/>
        <w:spacing w:line="360" w:lineRule="exact"/>
        <w:rPr>
          <w:b/>
        </w:rPr>
      </w:pPr>
      <w:r>
        <w:rPr>
          <w:rFonts w:hint="eastAsia"/>
          <w:b/>
        </w:rPr>
        <w:t>四方面加强我国基础研究</w:t>
      </w:r>
    </w:p>
    <w:p>
      <w:pPr>
        <w:widowControl/>
        <w:shd w:val="clear" w:color="auto" w:fill="FFFFFF"/>
        <w:spacing w:line="360" w:lineRule="exact"/>
      </w:pPr>
      <w:r>
        <w:tab/>
      </w:r>
      <w:r>
        <w:rPr>
          <w:rFonts w:hint="eastAsia"/>
        </w:rPr>
        <w:t>基础研究、前沿探索是一个国家提升原始创新能力的关键。</w:t>
      </w:r>
      <w:r>
        <w:rPr>
          <w:rFonts w:hint="eastAsia" w:ascii="宋体" w:hAnsi="宋体" w:eastAsia="宋体" w:cs="宋体"/>
          <w:color w:val="000000"/>
          <w:kern w:val="0"/>
          <w:szCs w:val="21"/>
        </w:rPr>
        <w:t>首先是完善支持基础研究的体制机制。第二是要强化前瞻布局。第三</w:t>
      </w:r>
      <w:r>
        <w:rPr>
          <w:rFonts w:hint="eastAsia"/>
        </w:rPr>
        <w:t>是继续加强基础研究基地建设，包括国家重点实验室、国家工程中心，以及建立在企业的重点实验室。第四也是最重要的还是要加强基础研究人才的培养。</w:t>
      </w:r>
    </w:p>
    <w:p>
      <w:pPr>
        <w:widowControl/>
        <w:shd w:val="clear" w:color="auto" w:fill="FFFFFF"/>
        <w:spacing w:line="360" w:lineRule="exact"/>
        <w:rPr>
          <w:b/>
        </w:rPr>
      </w:pPr>
      <w:r>
        <w:rPr>
          <w:rFonts w:hint="eastAsia"/>
          <w:b/>
        </w:rPr>
        <w:t>发展众创空间 服务实体经济</w:t>
      </w:r>
    </w:p>
    <w:p>
      <w:pPr>
        <w:widowControl/>
        <w:shd w:val="clear" w:color="auto" w:fill="FFFFFF"/>
        <w:spacing w:line="360" w:lineRule="exact"/>
      </w:pPr>
      <w:r>
        <w:tab/>
      </w:r>
      <w:r>
        <w:rPr>
          <w:rFonts w:hint="eastAsia" w:ascii="宋体" w:hAnsi="宋体" w:eastAsia="宋体" w:cs="宋体"/>
          <w:color w:val="000000"/>
          <w:kern w:val="0"/>
          <w:szCs w:val="21"/>
        </w:rPr>
        <w:t>当前，大众创业、万众创新正成为我国经济发展的新引擎，全国有近500个众创空间和将近700个企业孵化器、加速器以及产业园区形成了接续有序的创业生态。未来还要</w:t>
      </w:r>
      <w:r>
        <w:rPr>
          <w:rFonts w:hint="eastAsia"/>
        </w:rPr>
        <w:t>加快发展众创空间、服务实体经济转型升级。一要引领众创空间越来越多地向实体经济发展；二是鼓励龙头骨干企业围绕主营业务方向开放市场资源、装备资源等和中小微企业、高校、科研院所以及广大创客共同创新创业；三要支持科研院所、高校围绕优势专业领域建设众创空间，开放科技资源、设备、人力资源，带领青年人创新创业；四要在国家高新区、自主创新示范区建设一批围绕众创的平台；五要引导社会成本投入，创造人才交流机制。</w:t>
      </w:r>
    </w:p>
    <w:p>
      <w:pPr>
        <w:widowControl/>
        <w:shd w:val="clear" w:color="auto" w:fill="FFFFFF"/>
        <w:spacing w:line="360" w:lineRule="exact"/>
        <w:jc w:val="right"/>
        <w:rPr>
          <w:rFonts w:asciiTheme="minorEastAsia" w:hAnsiTheme="minorEastAsia"/>
        </w:rPr>
      </w:pPr>
      <w:r>
        <w:rPr>
          <w:rFonts w:hint="eastAsia" w:asciiTheme="minorEastAsia" w:hAnsiTheme="minorEastAsia"/>
        </w:rPr>
        <w:t>（来源：科技日报，</w:t>
      </w:r>
      <w:r>
        <w:rPr>
          <w:rFonts w:asciiTheme="minorEastAsia" w:hAnsiTheme="minorEastAsia"/>
        </w:rPr>
        <w:t>2</w:t>
      </w:r>
      <w:r>
        <w:rPr>
          <w:rFonts w:hint="eastAsia" w:asciiTheme="minorEastAsia" w:hAnsiTheme="minorEastAsia"/>
        </w:rPr>
        <w:t>016年02月25日）</w:t>
      </w:r>
    </w:p>
    <w:p>
      <w:pPr>
        <w:widowControl/>
        <w:shd w:val="clear" w:color="auto" w:fill="FFFFFF"/>
        <w:spacing w:line="360" w:lineRule="exact"/>
        <w:jc w:val="right"/>
      </w:pPr>
    </w:p>
    <w:p>
      <w:pPr>
        <w:pStyle w:val="10"/>
      </w:pPr>
      <w:bookmarkStart w:id="4" w:name="_Toc449615743"/>
      <w:r>
        <w:rPr>
          <w:rFonts w:hint="eastAsia"/>
        </w:rPr>
        <w:t>中国</w:t>
      </w:r>
      <w:r>
        <w:t>研发投入</w:t>
      </w:r>
      <w:r>
        <w:rPr>
          <w:rFonts w:hint="eastAsia"/>
        </w:rPr>
        <w:t>强度</w:t>
      </w:r>
      <w:r>
        <w:t>持续增长</w:t>
      </w:r>
      <w:bookmarkEnd w:id="4"/>
    </w:p>
    <w:p>
      <w:pPr>
        <w:spacing w:line="360" w:lineRule="exact"/>
        <w:ind w:firstLine="420"/>
      </w:pPr>
      <w:r>
        <w:rPr>
          <w:rFonts w:hint="eastAsia"/>
        </w:rPr>
        <w:t>据《2014年全国科技经费投入统计公报》数据显示，2014年我国研发经费投入总量为13015.6亿元，比上年增加1169亿元，研发投入强度已连续两年超过2%，且呈持续上升态势。企业、政府所属研究机构、高等学校经费支出所占比重分别为77.3％、14.8％和6.9％。企业支出研发经费10060.6亿元，比上年增长10.9%，增速分别比政府所属研究机构和高等学校高2.8个和6.1个百分点；对全社会研发经费增长的贡献为84.2%，比上年提高4.5个百分</w:t>
      </w:r>
      <w:r>
        <w:rPr>
          <w:rFonts w:hint="eastAsia"/>
          <w:lang w:eastAsia="zh-CN"/>
        </w:rPr>
        <w:t>点。</w:t>
      </w:r>
    </w:p>
    <w:p>
      <w:pPr>
        <w:spacing w:line="360" w:lineRule="exact"/>
        <w:ind w:firstLine="420"/>
        <w:jc w:val="right"/>
      </w:pPr>
      <w:r>
        <w:rPr>
          <w:rFonts w:hint="eastAsia"/>
        </w:rPr>
        <w:t>（来源：科技</w:t>
      </w:r>
      <w:r>
        <w:t>日报，</w:t>
      </w:r>
      <w:r>
        <w:rPr>
          <w:rFonts w:hint="eastAsia"/>
        </w:rPr>
        <w:t>2016年01月07日）</w:t>
      </w:r>
    </w:p>
    <w:p>
      <w:pPr>
        <w:pStyle w:val="10"/>
      </w:pPr>
      <w:bookmarkStart w:id="5" w:name="_Toc449615744"/>
      <w:r>
        <w:rPr>
          <w:rFonts w:hint="eastAsia"/>
        </w:rPr>
        <w:t>中国成为世界知识产权增长主要推动者</w:t>
      </w:r>
      <w:bookmarkEnd w:id="5"/>
    </w:p>
    <w:p>
      <w:pPr>
        <w:rPr>
          <w:color w:val="000000"/>
          <w:shd w:val="clear" w:color="auto" w:fill="FFFFFF"/>
        </w:rPr>
      </w:pPr>
      <w:r>
        <w:rPr>
          <w:color w:val="000000"/>
          <w:shd w:val="clear" w:color="auto" w:fill="FFFFFF"/>
        </w:rPr>
        <w:tab/>
      </w:r>
      <w:r>
        <w:rPr>
          <w:rFonts w:hint="eastAsia"/>
          <w:color w:val="000000"/>
          <w:shd w:val="clear" w:color="auto" w:fill="FFFFFF"/>
        </w:rPr>
        <w:t>2015年版《世界知识产权指标》报告指出，2014年中国专利、商标、工业品外观设计的申请量均位居世界第一，成为全球知识产权发展的主要推动力量。2015年版《世界知识产权指标》报告开篇明确表示，在全球经济前景不明的形势下，知识产权活动在世界大多数国家仍强劲增长。中国是世界知识产权增长的最主要推动者，而且作用比以往更加显著。</w:t>
      </w:r>
    </w:p>
    <w:p>
      <w:pPr>
        <w:ind w:firstLine="420" w:firstLineChars="200"/>
        <w:rPr>
          <w:color w:val="000000"/>
          <w:shd w:val="clear" w:color="auto" w:fill="FFFFFF"/>
        </w:rPr>
      </w:pPr>
      <w:r>
        <w:rPr>
          <w:rFonts w:hint="eastAsia"/>
          <w:color w:val="000000"/>
          <w:shd w:val="clear" w:color="auto" w:fill="FFFFFF"/>
        </w:rPr>
        <w:t>报告指出，2014年全球共提交了约270万件专利申请，比2013年增长了4.5％。中国的专利申请量为928177件，位居世界第一，超过了排名第二和第三位的美国和日本的总和。美国和日本的专利申请量分别为578802件和325989件。</w:t>
      </w:r>
    </w:p>
    <w:p>
      <w:pPr>
        <w:rPr>
          <w:color w:val="000000"/>
          <w:shd w:val="clear" w:color="auto" w:fill="FFFFFF"/>
        </w:rPr>
      </w:pPr>
      <w:r>
        <w:rPr>
          <w:color w:val="000000"/>
          <w:shd w:val="clear" w:color="auto" w:fill="FFFFFF"/>
        </w:rPr>
        <w:tab/>
      </w:r>
      <w:r>
        <w:rPr>
          <w:rFonts w:hint="eastAsia"/>
          <w:color w:val="000000"/>
          <w:shd w:val="clear" w:color="auto" w:fill="FFFFFF"/>
        </w:rPr>
        <w:t>报告同时指出，2014年共授权约118万件专利。全世界所持有效专利总共约为1020万件，其中美国占24.7％，日本占18.8％，中国占11.7％。根据报告，2014年世界商标申请量比上一年增长6％。中国位居第一，共提交222万件申请，比2013年增长18.2％。美国和欧盟名列第二和第三位，分别为471228件和333443件。在工业品外观设计方面，中国申请量为564555件，比上年下跌14.4％，但仍居世界首位。其次为欧盟和韩国。2014年植物品种保护申请量比上年增长3.3％。欧盟共同体植物品种局受理的此项申请最多，共有3625件，其次是中国和美国，分别是2026件和1567件。</w:t>
      </w:r>
    </w:p>
    <w:p>
      <w:pPr>
        <w:spacing w:line="360" w:lineRule="exact"/>
        <w:ind w:right="315" w:firstLine="420" w:firstLineChars="200"/>
        <w:jc w:val="right"/>
        <w:rPr>
          <w:rFonts w:ascii="宋体" w:hAnsi="宋体" w:eastAsia="宋体" w:cs="Times New Roman"/>
          <w:szCs w:val="21"/>
        </w:rPr>
      </w:pPr>
      <w:r>
        <w:rPr>
          <w:rFonts w:hint="eastAsia" w:ascii="宋体" w:hAnsi="宋体" w:eastAsia="宋体" w:cs="Times New Roman"/>
          <w:szCs w:val="21"/>
        </w:rPr>
        <w:t>（来源</w:t>
      </w:r>
      <w:r>
        <w:rPr>
          <w:rFonts w:ascii="宋体" w:hAnsi="宋体" w:eastAsia="宋体" w:cs="Times New Roman"/>
          <w:szCs w:val="21"/>
        </w:rPr>
        <w:t>：</w:t>
      </w:r>
      <w:r>
        <w:rPr>
          <w:rFonts w:hint="eastAsia" w:ascii="宋体" w:hAnsi="宋体" w:eastAsia="宋体" w:cs="Times New Roman"/>
          <w:szCs w:val="21"/>
        </w:rPr>
        <w:t>科技日报，2015年12月16日）</w:t>
      </w:r>
    </w:p>
    <w:p>
      <w:pPr>
        <w:pStyle w:val="10"/>
      </w:pPr>
      <w:bookmarkStart w:id="6" w:name="_Toc449615745"/>
      <w:r>
        <w:rPr>
          <w:rFonts w:hint="eastAsia"/>
        </w:rPr>
        <w:t>美国专家</w:t>
      </w:r>
      <w:r>
        <w:t>谈中国创新</w:t>
      </w:r>
      <w:bookmarkEnd w:id="6"/>
    </w:p>
    <w:p>
      <w:pPr>
        <w:spacing w:line="360" w:lineRule="exact"/>
        <w:ind w:firstLine="420"/>
      </w:pPr>
      <w:r>
        <w:rPr>
          <w:rFonts w:hint="eastAsia"/>
        </w:rPr>
        <w:t>尽管与创新强国还有一定差距，但中国已决心加快成为全球创新强国的进程。中国的创新之路到底应该如何走？美国国际战略研究中心</w:t>
      </w:r>
      <w:r>
        <w:rPr>
          <w:rFonts w:hint="eastAsia"/>
          <w:lang w:eastAsia="zh-CN"/>
        </w:rPr>
        <w:t>（</w:t>
      </w:r>
      <w:r>
        <w:rPr>
          <w:rFonts w:hint="eastAsia"/>
        </w:rPr>
        <w:t>CSIS</w:t>
      </w:r>
      <w:r>
        <w:rPr>
          <w:rFonts w:hint="eastAsia"/>
          <w:lang w:eastAsia="zh-CN"/>
        </w:rPr>
        <w:t>）</w:t>
      </w:r>
      <w:r>
        <w:rPr>
          <w:rFonts w:hint="eastAsia"/>
        </w:rPr>
        <w:t>费和中国研究项目副主任、中国商业与政治经济项目主任甘思德教授表示，中国创新的主要优势表现为三个方面，庞大的接受过高等教育的人才队伍、巨大的国内市场，以及强大的制造业。中美创新对话机制美方专家成员、中国国家友谊奖获得者丹尼斯·西蒙博士认为，中国的创新优势体现在五大方面： 一是人才优势，中国高校培养出了未来成为科学家和工程师的足量人才，中国工程领域的博士数量也超过了美国。二是经费优势，中国创新的主要优势还在于有着充足的经费保证，中国研发经费过去五六年实现每年超过20%的增长。三是设备优势，中国现在还拥有着世界一流的研发设备和设施。四是强大的制造业优势。五是巨大的市场优势。美国电气电子工程师学会</w:t>
      </w:r>
      <w:r>
        <w:rPr>
          <w:rFonts w:hint="eastAsia"/>
          <w:lang w:eastAsia="zh-CN"/>
        </w:rPr>
        <w:t>（</w:t>
      </w:r>
      <w:r>
        <w:rPr>
          <w:rFonts w:hint="eastAsia"/>
        </w:rPr>
        <w:t>IEEE</w:t>
      </w:r>
      <w:r>
        <w:rPr>
          <w:rFonts w:hint="eastAsia"/>
          <w:lang w:eastAsia="zh-CN"/>
        </w:rPr>
        <w:t>）</w:t>
      </w:r>
      <w:bookmarkStart w:id="9" w:name="_GoBack"/>
      <w:bookmarkEnd w:id="9"/>
      <w:r>
        <w:rPr>
          <w:rFonts w:hint="eastAsia"/>
        </w:rPr>
        <w:t>计算机分会前主席、乔治·华盛顿大学艾略特国际事务学院国际科技政策和国际事务副教授戴维·阿兰·格里尔博士表示，中国创造性人才不仅队伍庞大，而且具有全球视野。他认为是中国的开放政策使中国学者能到国外学习新思想，并进一步把这些思想带回了中国。</w:t>
      </w:r>
    </w:p>
    <w:p>
      <w:pPr>
        <w:spacing w:line="360" w:lineRule="exact"/>
        <w:jc w:val="right"/>
      </w:pPr>
      <w:r>
        <w:rPr>
          <w:rFonts w:hint="eastAsia"/>
        </w:rPr>
        <w:t>（来源：科技日报，2015年12月10日）</w:t>
      </w:r>
    </w:p>
    <w:p>
      <w:pPr>
        <w:pStyle w:val="10"/>
      </w:pPr>
      <w:bookmarkStart w:id="7" w:name="_Toc449615746"/>
      <w:r>
        <w:rPr>
          <w:rFonts w:hint="eastAsia"/>
        </w:rPr>
        <w:t>中国</w:t>
      </w:r>
      <w:r>
        <w:t>的区域创新能力报告发布</w:t>
      </w:r>
      <w:bookmarkEnd w:id="7"/>
    </w:p>
    <w:p>
      <w:pPr>
        <w:spacing w:line="360" w:lineRule="exact"/>
        <w:rPr>
          <w:rFonts w:ascii="宋体" w:hAnsi="宋体" w:eastAsia="宋体" w:cs="Times New Roman"/>
          <w:szCs w:val="21"/>
        </w:rPr>
      </w:pPr>
      <w:r>
        <w:tab/>
      </w:r>
      <w:r>
        <w:rPr>
          <w:rFonts w:hint="eastAsia" w:ascii="宋体" w:hAnsi="宋体" w:eastAsia="宋体" w:cs="Times New Roman"/>
          <w:szCs w:val="21"/>
        </w:rPr>
        <w:t>中国科技发展战略研究小组和中国科学院大学中国创新创业管理研究中心承担的《中国区域创新能力评价报告2015》在京发布。</w:t>
      </w:r>
    </w:p>
    <w:p>
      <w:pPr>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报告指出，区域创新综合能力排名前9位依次为江苏、广东、北京、上海、浙江、山东、天津、重庆和安徽，与2014年相比没有变化，同时福建省取代湖北省位列第10。报告显示，创新综合能力排名上升幅度最大的是内蒙古自治区，从2014年的第27名跃升至2015年的第21名，这主要得益于内蒙古自治区的知识获取能力排名和创新环境排名的大幅度提升。此外，贵州省和海南省的排名上升情况也较为突出。</w:t>
      </w:r>
    </w:p>
    <w:p>
      <w:pPr>
        <w:spacing w:line="360" w:lineRule="exact"/>
        <w:ind w:right="315" w:firstLine="420" w:firstLineChars="200"/>
        <w:rPr>
          <w:rFonts w:ascii="宋体" w:hAnsi="宋体" w:eastAsia="宋体" w:cs="Times New Roman"/>
          <w:szCs w:val="21"/>
        </w:rPr>
      </w:pPr>
      <w:r>
        <w:rPr>
          <w:rFonts w:hint="eastAsia" w:ascii="宋体" w:hAnsi="宋体" w:eastAsia="宋体" w:cs="Times New Roman"/>
          <w:szCs w:val="21"/>
        </w:rPr>
        <w:t>报告还指出，名次变化的情况说明，创新能力强的地区，创新动力多元，且保持相对稳定；一些二、三梯队地区，创新能力比较依靠资源和投资驱动的模式，受到国际金融危机和国内新常态发展模式的影响，出现下滑倾向。不过，这与地理位置关系不大，一些地处西北的省份，仍然实现了创新能力排名的上升。</w:t>
      </w:r>
    </w:p>
    <w:p>
      <w:pPr>
        <w:spacing w:line="360" w:lineRule="exact"/>
        <w:ind w:right="315" w:firstLine="420" w:firstLineChars="200"/>
        <w:rPr>
          <w:rFonts w:ascii="宋体" w:hAnsi="宋体" w:eastAsia="宋体" w:cs="Times New Roman"/>
          <w:szCs w:val="21"/>
        </w:rPr>
      </w:pPr>
      <w:r>
        <w:rPr>
          <w:rFonts w:hint="eastAsia" w:ascii="宋体" w:hAnsi="宋体" w:eastAsia="宋体" w:cs="Times New Roman"/>
          <w:szCs w:val="21"/>
        </w:rPr>
        <w:t>目前，区域创新能力基本形成稳定格局：东部地区排名稳定，且领先地区的优势逐渐扩大；中西部地区整体仍然偏弱，且呈周期性波动；东北老工业基地的创新有待提升，亟须激活创新活力。值得注意的是，东北三省的综合排名已经连续两年整体性下滑，河北省创新能力成为京津冀协同发展的短板。区域创新能力的分布存在一个“长尾”现象：以江苏、广东为代表的领先省份，基本遥遥领先，但拖着一个长长的尾巴，即广大中西部地区。一大批地区处于投资和要素驱动阶段。这些地区科技要素基础薄弱，市场化水平低，创新创业环境较差，需要相当长时间的培育才能实现创新驱动的转型。</w:t>
      </w:r>
    </w:p>
    <w:p>
      <w:pPr>
        <w:spacing w:line="360" w:lineRule="exact"/>
        <w:ind w:right="315" w:firstLine="420" w:firstLineChars="200"/>
        <w:jc w:val="right"/>
        <w:rPr>
          <w:rFonts w:ascii="宋体" w:hAnsi="宋体" w:eastAsia="宋体" w:cs="Times New Roman"/>
          <w:szCs w:val="21"/>
        </w:rPr>
      </w:pPr>
      <w:r>
        <w:rPr>
          <w:rFonts w:hint="eastAsia" w:ascii="宋体" w:hAnsi="宋体" w:eastAsia="宋体" w:cs="Times New Roman"/>
          <w:szCs w:val="21"/>
        </w:rPr>
        <w:t>（来源</w:t>
      </w:r>
      <w:r>
        <w:rPr>
          <w:rFonts w:ascii="宋体" w:hAnsi="宋体" w:eastAsia="宋体" w:cs="Times New Roman"/>
          <w:szCs w:val="21"/>
        </w:rPr>
        <w:t>：</w:t>
      </w:r>
      <w:r>
        <w:rPr>
          <w:rFonts w:hint="eastAsia" w:ascii="宋体" w:hAnsi="宋体" w:eastAsia="宋体" w:cs="Times New Roman"/>
          <w:szCs w:val="21"/>
        </w:rPr>
        <w:t>科技日报，2015年12月7日）</w:t>
      </w:r>
    </w:p>
    <w:p>
      <w:pPr>
        <w:spacing w:line="360" w:lineRule="exact"/>
        <w:ind w:firstLine="420"/>
      </w:pPr>
    </w:p>
    <w:p>
      <w:pPr>
        <w:pStyle w:val="10"/>
      </w:pPr>
      <w:bookmarkStart w:id="8" w:name="_Toc449615747"/>
      <w:r>
        <w:rPr>
          <w:rFonts w:hint="eastAsia"/>
        </w:rPr>
        <w:t>中国</w:t>
      </w:r>
      <w:r>
        <w:t>迎来第四次创业</w:t>
      </w:r>
      <w:r>
        <w:rPr>
          <w:rFonts w:hint="eastAsia"/>
        </w:rPr>
        <w:t>浪潮</w:t>
      </w:r>
      <w:bookmarkEnd w:id="8"/>
    </w:p>
    <w:p>
      <w:pPr>
        <w:spacing w:line="360" w:lineRule="exact"/>
        <w:ind w:firstLine="420"/>
      </w:pPr>
      <w:r>
        <w:rPr>
          <w:rFonts w:hint="eastAsia"/>
        </w:rPr>
        <w:t>《2015中国劳动力市场报告》在京发布，报告指出我国正迎来第四次创业浪潮，学历高、技能高、创业志向高的新生代创业者主导着创新驱动型创业。《报告》认为，自改革开放以来，中国已经出现过三次创业浪潮，第一次是从改革开放之初到1984年，第二次是在上世纪90年代初中期，第三次是2002年至2004年。2012年以来，中国开始进入第四次创业浪潮，特别是2014年以来，每天新注册企业的数量平均都在1万户以上，全社会表现出大众创业、万众创新的极大热情。</w:t>
      </w:r>
    </w:p>
    <w:p>
      <w:pPr>
        <w:spacing w:line="360" w:lineRule="exact"/>
        <w:ind w:firstLine="420"/>
      </w:pPr>
      <w:r>
        <w:rPr>
          <w:rFonts w:hint="eastAsia"/>
        </w:rPr>
        <w:t>当前中国的创新创业活动表现出支持创业带动就业的政策体系逐步完善，创业带动就业作用日趋明显，技术创新引领创业潮流等八大特点。目前，大多数行业的城市创业活跃度高于农村，且更多集中于第三产业，加快了就业结构转型升级的步伐。创业主体日益多元化，以大学生、农民工、下岗失业人员为主体的产业格局正在改变。调查显示，新生代创业者中研究生和博士（含博士后）占比为37.55%，新生代创业者普遍具有学历高、技能高、创业志向高的“三高”特点，主导着创新驱动型创业。创业者经验丰富，工作几年再辞职创业者的比例占到91.8%。决定创业前，创业者对所创行业了解度达到87.97%。调查显示，对“放弃就业、选择创业”的选择满意度为85.19%，不满意不到1.5%。对大多数创业者而言，创业作为人生难得的历练过程具有积极的正向效应。</w:t>
      </w:r>
    </w:p>
    <w:p>
      <w:pPr>
        <w:spacing w:line="360" w:lineRule="exact"/>
        <w:ind w:right="315"/>
        <w:jc w:val="right"/>
        <w:rPr>
          <w:rFonts w:ascii="宋体" w:hAnsi="宋体" w:eastAsia="宋体" w:cs="Times New Roman"/>
          <w:szCs w:val="21"/>
        </w:rPr>
      </w:pPr>
      <w:r>
        <w:rPr>
          <w:rFonts w:hint="eastAsia" w:ascii="宋体" w:hAnsi="宋体" w:eastAsia="宋体" w:cs="Times New Roman"/>
          <w:szCs w:val="21"/>
        </w:rPr>
        <w:t>（来源：科技日报 2015年11月23日）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32B9"/>
    <w:rsid w:val="000103D2"/>
    <w:rsid w:val="000113C5"/>
    <w:rsid w:val="00030010"/>
    <w:rsid w:val="00041A3D"/>
    <w:rsid w:val="00076551"/>
    <w:rsid w:val="00082678"/>
    <w:rsid w:val="00087C49"/>
    <w:rsid w:val="000A6EB5"/>
    <w:rsid w:val="000B31CD"/>
    <w:rsid w:val="000C644C"/>
    <w:rsid w:val="000D11AE"/>
    <w:rsid w:val="000D3FDE"/>
    <w:rsid w:val="000D5B48"/>
    <w:rsid w:val="0010175D"/>
    <w:rsid w:val="0011264A"/>
    <w:rsid w:val="001132B9"/>
    <w:rsid w:val="00115620"/>
    <w:rsid w:val="00117C2A"/>
    <w:rsid w:val="00123B82"/>
    <w:rsid w:val="00130E84"/>
    <w:rsid w:val="001343F8"/>
    <w:rsid w:val="001429EF"/>
    <w:rsid w:val="001456D5"/>
    <w:rsid w:val="00146444"/>
    <w:rsid w:val="001524A4"/>
    <w:rsid w:val="0015597C"/>
    <w:rsid w:val="001638E7"/>
    <w:rsid w:val="00171F24"/>
    <w:rsid w:val="0017307A"/>
    <w:rsid w:val="00176EF8"/>
    <w:rsid w:val="00185174"/>
    <w:rsid w:val="00190CCF"/>
    <w:rsid w:val="00191CA8"/>
    <w:rsid w:val="00194088"/>
    <w:rsid w:val="00196F6A"/>
    <w:rsid w:val="001D57E7"/>
    <w:rsid w:val="001E2552"/>
    <w:rsid w:val="001E42D2"/>
    <w:rsid w:val="00201597"/>
    <w:rsid w:val="0022495B"/>
    <w:rsid w:val="00230455"/>
    <w:rsid w:val="002340A9"/>
    <w:rsid w:val="002619D3"/>
    <w:rsid w:val="00263201"/>
    <w:rsid w:val="00264F53"/>
    <w:rsid w:val="002651E4"/>
    <w:rsid w:val="00281CA6"/>
    <w:rsid w:val="002A0E67"/>
    <w:rsid w:val="002B1FCF"/>
    <w:rsid w:val="002C396A"/>
    <w:rsid w:val="002C7D96"/>
    <w:rsid w:val="003037A0"/>
    <w:rsid w:val="003069C4"/>
    <w:rsid w:val="00313636"/>
    <w:rsid w:val="00313FA1"/>
    <w:rsid w:val="00314CAB"/>
    <w:rsid w:val="00335915"/>
    <w:rsid w:val="003371BD"/>
    <w:rsid w:val="00337ABE"/>
    <w:rsid w:val="00341643"/>
    <w:rsid w:val="0034186A"/>
    <w:rsid w:val="00344B3C"/>
    <w:rsid w:val="003456D8"/>
    <w:rsid w:val="003465EC"/>
    <w:rsid w:val="00364D28"/>
    <w:rsid w:val="00376EAB"/>
    <w:rsid w:val="003803A5"/>
    <w:rsid w:val="0039405D"/>
    <w:rsid w:val="003A159D"/>
    <w:rsid w:val="003A3DB1"/>
    <w:rsid w:val="003C6331"/>
    <w:rsid w:val="003E75DB"/>
    <w:rsid w:val="003F257B"/>
    <w:rsid w:val="00416F59"/>
    <w:rsid w:val="004420E7"/>
    <w:rsid w:val="00456067"/>
    <w:rsid w:val="004571D4"/>
    <w:rsid w:val="004716D5"/>
    <w:rsid w:val="0047779E"/>
    <w:rsid w:val="00492E97"/>
    <w:rsid w:val="004A1722"/>
    <w:rsid w:val="004B372C"/>
    <w:rsid w:val="004B4A4B"/>
    <w:rsid w:val="004C2398"/>
    <w:rsid w:val="004C3C66"/>
    <w:rsid w:val="004D1AD2"/>
    <w:rsid w:val="004E799B"/>
    <w:rsid w:val="004F21FA"/>
    <w:rsid w:val="004F2EF1"/>
    <w:rsid w:val="004F33F1"/>
    <w:rsid w:val="00510B88"/>
    <w:rsid w:val="005202A0"/>
    <w:rsid w:val="00524E31"/>
    <w:rsid w:val="005322A0"/>
    <w:rsid w:val="00533557"/>
    <w:rsid w:val="00533C47"/>
    <w:rsid w:val="00534667"/>
    <w:rsid w:val="00544173"/>
    <w:rsid w:val="005629FA"/>
    <w:rsid w:val="00571408"/>
    <w:rsid w:val="00572753"/>
    <w:rsid w:val="00574CF7"/>
    <w:rsid w:val="00584632"/>
    <w:rsid w:val="00592DF7"/>
    <w:rsid w:val="005A5FC3"/>
    <w:rsid w:val="005E2B62"/>
    <w:rsid w:val="005E3F7C"/>
    <w:rsid w:val="005E439B"/>
    <w:rsid w:val="00605CC8"/>
    <w:rsid w:val="00610A7C"/>
    <w:rsid w:val="00624405"/>
    <w:rsid w:val="00627AAE"/>
    <w:rsid w:val="0063740D"/>
    <w:rsid w:val="00641F44"/>
    <w:rsid w:val="00647310"/>
    <w:rsid w:val="00653EF8"/>
    <w:rsid w:val="006707C4"/>
    <w:rsid w:val="0068616E"/>
    <w:rsid w:val="00696C7F"/>
    <w:rsid w:val="006A357E"/>
    <w:rsid w:val="006A3DFC"/>
    <w:rsid w:val="006A42E2"/>
    <w:rsid w:val="006A6712"/>
    <w:rsid w:val="006B5AF0"/>
    <w:rsid w:val="006C2F33"/>
    <w:rsid w:val="006C5770"/>
    <w:rsid w:val="006F63E6"/>
    <w:rsid w:val="00725877"/>
    <w:rsid w:val="0076742C"/>
    <w:rsid w:val="00790A8D"/>
    <w:rsid w:val="00794135"/>
    <w:rsid w:val="007A305F"/>
    <w:rsid w:val="007A379E"/>
    <w:rsid w:val="007C2C92"/>
    <w:rsid w:val="007F6CE7"/>
    <w:rsid w:val="00801BDD"/>
    <w:rsid w:val="0083012E"/>
    <w:rsid w:val="0083548B"/>
    <w:rsid w:val="0084390B"/>
    <w:rsid w:val="00870820"/>
    <w:rsid w:val="00877EA1"/>
    <w:rsid w:val="008A15B8"/>
    <w:rsid w:val="008C0252"/>
    <w:rsid w:val="008C0DBF"/>
    <w:rsid w:val="008C11E5"/>
    <w:rsid w:val="008D31B6"/>
    <w:rsid w:val="008E593B"/>
    <w:rsid w:val="0091233D"/>
    <w:rsid w:val="00917CC7"/>
    <w:rsid w:val="00922921"/>
    <w:rsid w:val="00932C07"/>
    <w:rsid w:val="009340D6"/>
    <w:rsid w:val="00975D03"/>
    <w:rsid w:val="009869CE"/>
    <w:rsid w:val="009D5C3F"/>
    <w:rsid w:val="009E5C5B"/>
    <w:rsid w:val="00A15724"/>
    <w:rsid w:val="00A321EC"/>
    <w:rsid w:val="00A37031"/>
    <w:rsid w:val="00A37885"/>
    <w:rsid w:val="00A7145F"/>
    <w:rsid w:val="00A768B1"/>
    <w:rsid w:val="00A854DA"/>
    <w:rsid w:val="00A91F2A"/>
    <w:rsid w:val="00AA6DC7"/>
    <w:rsid w:val="00AC0434"/>
    <w:rsid w:val="00AC4C7B"/>
    <w:rsid w:val="00AC5FE7"/>
    <w:rsid w:val="00AD798F"/>
    <w:rsid w:val="00AE4BD2"/>
    <w:rsid w:val="00B21C0A"/>
    <w:rsid w:val="00B33A9C"/>
    <w:rsid w:val="00B426B4"/>
    <w:rsid w:val="00B44DD1"/>
    <w:rsid w:val="00B50E29"/>
    <w:rsid w:val="00B573E8"/>
    <w:rsid w:val="00B609E8"/>
    <w:rsid w:val="00B656C2"/>
    <w:rsid w:val="00B657D1"/>
    <w:rsid w:val="00B76DDB"/>
    <w:rsid w:val="00B820CD"/>
    <w:rsid w:val="00B858FC"/>
    <w:rsid w:val="00B96A25"/>
    <w:rsid w:val="00B96D76"/>
    <w:rsid w:val="00B970D8"/>
    <w:rsid w:val="00B97296"/>
    <w:rsid w:val="00B97E6D"/>
    <w:rsid w:val="00BD0CBA"/>
    <w:rsid w:val="00C014B3"/>
    <w:rsid w:val="00C03F84"/>
    <w:rsid w:val="00C12012"/>
    <w:rsid w:val="00C37BBD"/>
    <w:rsid w:val="00C41F5E"/>
    <w:rsid w:val="00C5711F"/>
    <w:rsid w:val="00C62D02"/>
    <w:rsid w:val="00C64D67"/>
    <w:rsid w:val="00C81572"/>
    <w:rsid w:val="00C8338E"/>
    <w:rsid w:val="00C84A5A"/>
    <w:rsid w:val="00C85ADF"/>
    <w:rsid w:val="00C8705D"/>
    <w:rsid w:val="00C872A7"/>
    <w:rsid w:val="00C95632"/>
    <w:rsid w:val="00CA1A7E"/>
    <w:rsid w:val="00CC133D"/>
    <w:rsid w:val="00CC18AB"/>
    <w:rsid w:val="00CF660F"/>
    <w:rsid w:val="00D0540D"/>
    <w:rsid w:val="00D20506"/>
    <w:rsid w:val="00D21F95"/>
    <w:rsid w:val="00D27F07"/>
    <w:rsid w:val="00D42B8D"/>
    <w:rsid w:val="00D43678"/>
    <w:rsid w:val="00D609A2"/>
    <w:rsid w:val="00D60C24"/>
    <w:rsid w:val="00D745AE"/>
    <w:rsid w:val="00D904B1"/>
    <w:rsid w:val="00DA35E7"/>
    <w:rsid w:val="00DB2AE9"/>
    <w:rsid w:val="00DB3EF9"/>
    <w:rsid w:val="00DB50F1"/>
    <w:rsid w:val="00DC172F"/>
    <w:rsid w:val="00DC31A2"/>
    <w:rsid w:val="00DC3291"/>
    <w:rsid w:val="00DE3F4D"/>
    <w:rsid w:val="00DE5C1E"/>
    <w:rsid w:val="00DF0005"/>
    <w:rsid w:val="00DF0C4D"/>
    <w:rsid w:val="00E13766"/>
    <w:rsid w:val="00E1485A"/>
    <w:rsid w:val="00E231F3"/>
    <w:rsid w:val="00E23919"/>
    <w:rsid w:val="00E81973"/>
    <w:rsid w:val="00E90CF6"/>
    <w:rsid w:val="00EA250C"/>
    <w:rsid w:val="00EA3398"/>
    <w:rsid w:val="00EA741A"/>
    <w:rsid w:val="00EB1EF8"/>
    <w:rsid w:val="00EF01B0"/>
    <w:rsid w:val="00EF758B"/>
    <w:rsid w:val="00F14732"/>
    <w:rsid w:val="00F16FB5"/>
    <w:rsid w:val="00F1754A"/>
    <w:rsid w:val="00F17AB6"/>
    <w:rsid w:val="00F2274A"/>
    <w:rsid w:val="00F35C50"/>
    <w:rsid w:val="00F52112"/>
    <w:rsid w:val="00F72439"/>
    <w:rsid w:val="00F750DA"/>
    <w:rsid w:val="00F9027B"/>
    <w:rsid w:val="00F90695"/>
    <w:rsid w:val="00F94CD2"/>
    <w:rsid w:val="00FE2C51"/>
    <w:rsid w:val="00FF1FE1"/>
    <w:rsid w:val="7E2D0A1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uiPriority w:val="99"/>
    <w:rPr>
      <w:b/>
      <w:bCs/>
    </w:rPr>
  </w:style>
  <w:style w:type="paragraph" w:styleId="4">
    <w:name w:val="annotation text"/>
    <w:basedOn w:val="1"/>
    <w:link w:val="22"/>
    <w:unhideWhenUsed/>
    <w:qFormat/>
    <w:uiPriority w:val="99"/>
    <w:pPr>
      <w:jc w:val="left"/>
    </w:pPr>
  </w:style>
  <w:style w:type="paragraph" w:styleId="5">
    <w:name w:val="Balloon Text"/>
    <w:basedOn w:val="1"/>
    <w:link w:val="25"/>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仿宋_GB2312" w:eastAsia="仿宋_GB2312"/>
      <w:color w:val="000000" w:themeColor="text1"/>
      <w:sz w:val="28"/>
      <w:szCs w:val="2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0"/>
    <w:qFormat/>
    <w:uiPriority w:val="0"/>
    <w:pPr>
      <w:spacing w:before="240" w:after="60"/>
      <w:jc w:val="center"/>
      <w:outlineLvl w:val="0"/>
    </w:pPr>
    <w:rPr>
      <w:rFonts w:ascii="Cambria" w:hAnsi="Cambria" w:eastAsia="黑体" w:cs="Times New Roman"/>
      <w:b/>
      <w:bCs/>
      <w:sz w:val="28"/>
      <w:szCs w:val="32"/>
    </w:r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rPr>
  </w:style>
  <w:style w:type="character" w:styleId="14">
    <w:name w:val="annotation reference"/>
    <w:basedOn w:val="11"/>
    <w:unhideWhenUsed/>
    <w:qFormat/>
    <w:uiPriority w:val="99"/>
    <w:rPr>
      <w:sz w:val="21"/>
      <w:szCs w:val="21"/>
    </w:rPr>
  </w:style>
  <w:style w:type="character" w:customStyle="1" w:styleId="16">
    <w:name w:val="页眉 Char"/>
    <w:basedOn w:val="11"/>
    <w:link w:val="7"/>
    <w:qFormat/>
    <w:uiPriority w:val="99"/>
    <w:rPr>
      <w:sz w:val="18"/>
      <w:szCs w:val="18"/>
    </w:rPr>
  </w:style>
  <w:style w:type="character" w:customStyle="1" w:styleId="17">
    <w:name w:val="页脚 Char"/>
    <w:basedOn w:val="11"/>
    <w:link w:val="6"/>
    <w:uiPriority w:val="99"/>
    <w:rPr>
      <w:sz w:val="18"/>
      <w:szCs w:val="18"/>
    </w:rPr>
  </w:style>
  <w:style w:type="character" w:customStyle="1" w:styleId="18">
    <w:name w:val="标题 1 Char"/>
    <w:basedOn w:val="11"/>
    <w:link w:val="2"/>
    <w:qFormat/>
    <w:uiPriority w:val="9"/>
    <w:rPr>
      <w:b/>
      <w:bCs/>
      <w:kern w:val="44"/>
      <w:sz w:val="44"/>
      <w:szCs w:val="44"/>
    </w:rPr>
  </w:style>
  <w:style w:type="paragraph" w:customStyle="1" w:styleId="19">
    <w:name w:val="TOC Heading"/>
    <w:basedOn w:val="2"/>
    <w:next w:val="1"/>
    <w:unhideWhenUsed/>
    <w:qFormat/>
    <w:uiPriority w:val="39"/>
    <w:pPr>
      <w:outlineLvl w:val="9"/>
    </w:pPr>
    <w:rPr>
      <w:rFonts w:ascii="Calibri" w:hAnsi="Calibri" w:eastAsia="宋体" w:cs="Times New Roman"/>
    </w:rPr>
  </w:style>
  <w:style w:type="character" w:customStyle="1" w:styleId="20">
    <w:name w:val="标题 Char"/>
    <w:basedOn w:val="11"/>
    <w:link w:val="10"/>
    <w:qFormat/>
    <w:uiPriority w:val="0"/>
    <w:rPr>
      <w:rFonts w:ascii="Cambria" w:hAnsi="Cambria" w:eastAsia="黑体" w:cs="Times New Roman"/>
      <w:b/>
      <w:bCs/>
      <w:sz w:val="28"/>
      <w:szCs w:val="32"/>
    </w:rPr>
  </w:style>
  <w:style w:type="paragraph" w:customStyle="1" w:styleId="21">
    <w:name w:val="List Paragraph"/>
    <w:basedOn w:val="1"/>
    <w:qFormat/>
    <w:uiPriority w:val="34"/>
    <w:pPr>
      <w:ind w:firstLine="420" w:firstLineChars="200"/>
    </w:pPr>
  </w:style>
  <w:style w:type="character" w:customStyle="1" w:styleId="22">
    <w:name w:val="批注文字 Char"/>
    <w:basedOn w:val="11"/>
    <w:link w:val="4"/>
    <w:semiHidden/>
    <w:qFormat/>
    <w:uiPriority w:val="99"/>
  </w:style>
  <w:style w:type="character" w:customStyle="1" w:styleId="23">
    <w:name w:val="批注主题 Char"/>
    <w:basedOn w:val="22"/>
    <w:link w:val="3"/>
    <w:semiHidden/>
    <w:uiPriority w:val="99"/>
    <w:rPr>
      <w:b/>
      <w:bCs/>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批注框文本 Char"/>
    <w:basedOn w:val="11"/>
    <w:link w:val="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F2EE5-64DB-4AF3-926C-806E0DAD604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765</Words>
  <Characters>4364</Characters>
  <Lines>36</Lines>
  <Paragraphs>10</Paragraphs>
  <TotalTime>0</TotalTime>
  <ScaleCrop>false</ScaleCrop>
  <LinksUpToDate>false</LinksUpToDate>
  <CharactersWithSpaces>5119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2016-03-16T00:59:00Z</dcterms:created>
  <dc:creator>Cai Wanying</dc:creator>
  <cp:lastModifiedBy>Administrator</cp:lastModifiedBy>
  <cp:lastPrinted>2016-04-28T06:08:00Z</cp:lastPrinted>
  <dcterms:modified xsi:type="dcterms:W3CDTF">2016-05-16T01:48:42Z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