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52" w:rsidRDefault="00AF2484">
      <w:pPr>
        <w:spacing w:line="360" w:lineRule="auto"/>
        <w:jc w:val="center"/>
        <w:rPr>
          <w:rFonts w:ascii="黑体" w:eastAsia="黑体" w:hAnsi="宋体"/>
          <w:b/>
          <w:sz w:val="32"/>
          <w:szCs w:val="32"/>
        </w:rPr>
      </w:pPr>
      <w:r>
        <w:rPr>
          <w:rFonts w:ascii="黑体" w:eastAsia="黑体" w:hAnsi="宋体" w:hint="eastAsia"/>
          <w:b/>
          <w:sz w:val="32"/>
          <w:szCs w:val="32"/>
        </w:rPr>
        <w:t>中国科技通讯（</w:t>
      </w:r>
      <w:r>
        <w:rPr>
          <w:rFonts w:ascii="黑体" w:eastAsia="黑体" w:hAnsi="宋体" w:hint="eastAsia"/>
          <w:b/>
          <w:sz w:val="32"/>
          <w:szCs w:val="32"/>
        </w:rPr>
        <w:t>NEWSLETTER</w:t>
      </w:r>
      <w:r>
        <w:rPr>
          <w:rFonts w:ascii="黑体" w:eastAsia="黑体" w:hAnsi="宋体" w:hint="eastAsia"/>
          <w:b/>
          <w:sz w:val="32"/>
          <w:szCs w:val="32"/>
        </w:rPr>
        <w:t>）</w:t>
      </w:r>
    </w:p>
    <w:p w:rsidR="007D0552" w:rsidRDefault="00AF2484">
      <w:pPr>
        <w:spacing w:line="360" w:lineRule="auto"/>
        <w:jc w:val="center"/>
        <w:rPr>
          <w:rFonts w:ascii="黑体" w:eastAsia="黑体" w:hAnsi="宋体"/>
          <w:b/>
          <w:sz w:val="32"/>
          <w:szCs w:val="32"/>
        </w:rPr>
      </w:pPr>
      <w:r>
        <w:rPr>
          <w:rFonts w:ascii="黑体" w:eastAsia="黑体" w:hAnsi="宋体" w:hint="eastAsia"/>
          <w:b/>
          <w:sz w:val="32"/>
          <w:szCs w:val="32"/>
        </w:rPr>
        <w:t>NO.</w:t>
      </w:r>
      <w:r>
        <w:rPr>
          <w:rFonts w:ascii="黑体" w:eastAsia="黑体" w:hAnsi="宋体"/>
          <w:b/>
          <w:sz w:val="32"/>
          <w:szCs w:val="32"/>
        </w:rPr>
        <w:t>5</w:t>
      </w:r>
    </w:p>
    <w:p w:rsidR="007D0552" w:rsidRDefault="00AF2484">
      <w:pPr>
        <w:pStyle w:val="TOC1"/>
        <w:spacing w:after="120"/>
        <w:jc w:val="center"/>
        <w:rPr>
          <w:rFonts w:ascii="黑体" w:eastAsia="黑体" w:hAnsi="宋体"/>
          <w:b w:val="0"/>
          <w:sz w:val="32"/>
          <w:szCs w:val="32"/>
        </w:rPr>
      </w:pPr>
      <w:r>
        <w:rPr>
          <w:rFonts w:ascii="黑体" w:eastAsia="黑体" w:hAnsi="宋体"/>
          <w:b w:val="0"/>
          <w:noProof/>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17145</wp:posOffset>
                </wp:positionV>
                <wp:extent cx="5400675" cy="0"/>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3pt;margin-top:1.35pt;height:0pt;width:425.25pt;z-index:251659264;mso-width-relative:page;mso-height-relative:page;" filled="f" stroked="t"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2DRgywEAAIkDAAAOAAAAAAAAAAEAIAAAACUBAABk&#10;cnMvZTJvRG9jLnhtbFBLBQYAAAAABgAGAFkBAABiBQAAAAA=&#10;">
                <v:fill on="f" focussize="0,0"/>
                <v:stroke weight="2.25pt" color="#000000" joinstyle="round" dashstyle="1 1" endcap="round"/>
                <v:imagedata o:title=""/>
                <o:lock v:ext="edit" aspectratio="f"/>
              </v:shape>
            </w:pict>
          </mc:Fallback>
        </mc:AlternateContent>
      </w:r>
      <w:r>
        <w:rPr>
          <w:rFonts w:ascii="黑体" w:eastAsia="黑体" w:hAnsi="宋体"/>
          <w:b w:val="0"/>
          <w:sz w:val="32"/>
          <w:szCs w:val="32"/>
        </w:rPr>
        <w:t>目录</w:t>
      </w:r>
    </w:p>
    <w:p w:rsidR="007D0552" w:rsidRDefault="00AF2484">
      <w:pPr>
        <w:pStyle w:val="11"/>
        <w:numPr>
          <w:ilvl w:val="0"/>
          <w:numId w:val="1"/>
        </w:numPr>
        <w:ind w:firstLineChars="0"/>
        <w:rPr>
          <w:b/>
          <w:sz w:val="28"/>
          <w:szCs w:val="28"/>
        </w:rPr>
      </w:pPr>
      <w:r>
        <w:rPr>
          <w:rFonts w:hint="eastAsia"/>
          <w:b/>
          <w:sz w:val="28"/>
          <w:szCs w:val="28"/>
        </w:rPr>
        <w:t>国际科技合作动态</w:t>
      </w:r>
    </w:p>
    <w:sdt>
      <w:sdtPr>
        <w:rPr>
          <w:rFonts w:asciiTheme="minorHAnsi" w:eastAsiaTheme="minorEastAsia" w:hAnsi="Times New Roman" w:cs="Times New Roman" w:hint="eastAsia"/>
          <w:color w:val="auto"/>
          <w:sz w:val="21"/>
          <w:szCs w:val="22"/>
        </w:rPr>
        <w:id w:val="12528797"/>
      </w:sdtPr>
      <w:sdtEndPr>
        <w:rPr>
          <w:rFonts w:hAnsiTheme="minorHAnsi" w:cstheme="minorBidi" w:hint="default"/>
        </w:rPr>
      </w:sdtEndPr>
      <w:sdtContent>
        <w:p w:rsidR="007D0552" w:rsidRDefault="00AF2484">
          <w:pPr>
            <w:pStyle w:val="10"/>
            <w:rPr>
              <w:rFonts w:asciiTheme="minorHAnsi" w:eastAsiaTheme="minorEastAsia"/>
              <w:color w:val="auto"/>
              <w:sz w:val="21"/>
              <w:szCs w:val="22"/>
            </w:rPr>
          </w:pPr>
          <w:r>
            <w:rPr>
              <w:rFonts w:hAnsi="Times New Roman" w:cs="Times New Roman" w:hint="eastAsia"/>
              <w:color w:val="auto"/>
            </w:rPr>
            <w:fldChar w:fldCharType="begin"/>
          </w:r>
          <w:r>
            <w:rPr>
              <w:rFonts w:hAnsi="Times New Roman" w:cs="Times New Roman" w:hint="eastAsia"/>
              <w:color w:val="auto"/>
            </w:rPr>
            <w:instrText xml:space="preserve"> TOC \o "1-3" \n \h \z \u </w:instrText>
          </w:r>
          <w:r>
            <w:rPr>
              <w:rFonts w:hAnsi="Times New Roman" w:cs="Times New Roman" w:hint="eastAsia"/>
              <w:color w:val="auto"/>
            </w:rPr>
            <w:fldChar w:fldCharType="separate"/>
          </w:r>
          <w:hyperlink w:anchor="_Toc448391506" w:history="1">
            <w:r>
              <w:rPr>
                <w:rStyle w:val="ab"/>
                <w:rFonts w:hint="eastAsia"/>
              </w:rPr>
              <w:t>中捷积极推动科研成果转化等领域合作</w:t>
            </w:r>
          </w:hyperlink>
        </w:p>
        <w:p w:rsidR="007D0552" w:rsidRDefault="00AF2484">
          <w:pPr>
            <w:pStyle w:val="10"/>
            <w:rPr>
              <w:rFonts w:asciiTheme="minorHAnsi" w:eastAsiaTheme="minorEastAsia"/>
              <w:color w:val="auto"/>
              <w:sz w:val="21"/>
              <w:szCs w:val="22"/>
            </w:rPr>
          </w:pPr>
          <w:hyperlink w:anchor="_Toc448391507" w:history="1">
            <w:r>
              <w:rPr>
                <w:rStyle w:val="ab"/>
                <w:rFonts w:hint="eastAsia"/>
              </w:rPr>
              <w:t>中巴重视科技创新合作与发展</w:t>
            </w:r>
          </w:hyperlink>
        </w:p>
        <w:p w:rsidR="007D0552" w:rsidRDefault="00AF2484">
          <w:pPr>
            <w:pStyle w:val="10"/>
            <w:rPr>
              <w:rStyle w:val="ab"/>
            </w:rPr>
          </w:pPr>
          <w:hyperlink w:anchor="_Toc448391508" w:history="1">
            <w:r>
              <w:rPr>
                <w:rStyle w:val="ab"/>
                <w:rFonts w:hint="eastAsia"/>
              </w:rPr>
              <w:t>中澳火炬创新园合作伙伴协调会成功召开</w:t>
            </w:r>
          </w:hyperlink>
        </w:p>
        <w:p w:rsidR="007D0552" w:rsidRDefault="00AF2484">
          <w:pPr>
            <w:pStyle w:val="11"/>
            <w:numPr>
              <w:ilvl w:val="0"/>
              <w:numId w:val="1"/>
            </w:numPr>
            <w:ind w:firstLineChars="0"/>
            <w:rPr>
              <w:b/>
              <w:sz w:val="28"/>
              <w:szCs w:val="28"/>
            </w:rPr>
          </w:pPr>
          <w:r>
            <w:rPr>
              <w:rFonts w:hint="eastAsia"/>
              <w:b/>
              <w:sz w:val="28"/>
              <w:szCs w:val="28"/>
            </w:rPr>
            <w:t>“</w:t>
          </w:r>
          <w:r>
            <w:rPr>
              <w:b/>
              <w:sz w:val="28"/>
              <w:szCs w:val="28"/>
            </w:rPr>
            <w:t>十二五</w:t>
          </w:r>
          <w:r>
            <w:rPr>
              <w:b/>
              <w:sz w:val="28"/>
              <w:szCs w:val="28"/>
            </w:rPr>
            <w:t>”</w:t>
          </w:r>
          <w:r>
            <w:rPr>
              <w:b/>
              <w:sz w:val="28"/>
              <w:szCs w:val="28"/>
            </w:rPr>
            <w:t>期间的研究和创新回顾</w:t>
          </w:r>
        </w:p>
        <w:p w:rsidR="007D0552" w:rsidRDefault="00AF2484">
          <w:pPr>
            <w:pStyle w:val="10"/>
            <w:rPr>
              <w:rFonts w:asciiTheme="minorHAnsi" w:eastAsiaTheme="minorEastAsia"/>
              <w:color w:val="auto"/>
              <w:sz w:val="21"/>
              <w:szCs w:val="22"/>
            </w:rPr>
          </w:pPr>
          <w:hyperlink w:anchor="_Toc448391509" w:history="1">
            <w:r>
              <w:rPr>
                <w:rStyle w:val="ab"/>
                <w:rFonts w:hint="eastAsia"/>
              </w:rPr>
              <w:t>量子物理学研究的进展</w:t>
            </w:r>
          </w:hyperlink>
        </w:p>
        <w:p w:rsidR="007D0552" w:rsidRDefault="00AF2484">
          <w:pPr>
            <w:pStyle w:val="10"/>
            <w:rPr>
              <w:rFonts w:asciiTheme="minorHAnsi" w:eastAsiaTheme="minorEastAsia"/>
              <w:color w:val="auto"/>
              <w:sz w:val="21"/>
              <w:szCs w:val="22"/>
            </w:rPr>
          </w:pPr>
          <w:hyperlink w:anchor="_Toc448391510" w:history="1">
            <w:r>
              <w:rPr>
                <w:rStyle w:val="ab"/>
                <w:rFonts w:hint="eastAsia"/>
              </w:rPr>
              <w:t>基础物理学研究的进展</w:t>
            </w:r>
          </w:hyperlink>
        </w:p>
        <w:p w:rsidR="007D0552" w:rsidRDefault="00AF2484">
          <w:pPr>
            <w:pStyle w:val="10"/>
            <w:rPr>
              <w:rFonts w:asciiTheme="minorHAnsi" w:eastAsiaTheme="minorEastAsia"/>
              <w:color w:val="auto"/>
              <w:sz w:val="21"/>
              <w:szCs w:val="22"/>
            </w:rPr>
          </w:pPr>
          <w:hyperlink w:anchor="_Toc448391511" w:history="1">
            <w:r>
              <w:rPr>
                <w:rStyle w:val="ab"/>
                <w:rFonts w:hint="eastAsia"/>
              </w:rPr>
              <w:t>中国的超导研究进展</w:t>
            </w:r>
          </w:hyperlink>
        </w:p>
        <w:p w:rsidR="007D0552" w:rsidRDefault="00AF2484">
          <w:pPr>
            <w:pStyle w:val="10"/>
            <w:rPr>
              <w:rFonts w:asciiTheme="minorHAnsi" w:eastAsiaTheme="minorEastAsia"/>
              <w:color w:val="auto"/>
              <w:sz w:val="21"/>
              <w:szCs w:val="22"/>
            </w:rPr>
          </w:pPr>
          <w:hyperlink w:anchor="_Toc448391512" w:history="1">
            <w:r>
              <w:rPr>
                <w:rStyle w:val="ab"/>
                <w:rFonts w:hint="eastAsia"/>
              </w:rPr>
              <w:t>北京正负电子对撞机</w:t>
            </w:r>
          </w:hyperlink>
        </w:p>
        <w:p w:rsidR="007D0552" w:rsidRDefault="00AF2484">
          <w:pPr>
            <w:pStyle w:val="10"/>
            <w:rPr>
              <w:rFonts w:asciiTheme="minorHAnsi" w:eastAsiaTheme="minorEastAsia"/>
              <w:color w:val="auto"/>
              <w:sz w:val="21"/>
              <w:szCs w:val="22"/>
            </w:rPr>
          </w:pPr>
          <w:hyperlink w:anchor="_Toc448391513" w:history="1">
            <w:r>
              <w:rPr>
                <w:rStyle w:val="ab"/>
                <w:rFonts w:hint="eastAsia"/>
              </w:rPr>
              <w:t>中国的超级计算机</w:t>
            </w:r>
          </w:hyperlink>
        </w:p>
        <w:p w:rsidR="007D0552" w:rsidRDefault="00AF2484">
          <w:pPr>
            <w:pStyle w:val="10"/>
            <w:rPr>
              <w:rFonts w:asciiTheme="minorHAnsi" w:eastAsiaTheme="minorEastAsia"/>
              <w:color w:val="auto"/>
              <w:sz w:val="21"/>
              <w:szCs w:val="22"/>
            </w:rPr>
          </w:pPr>
          <w:hyperlink w:anchor="_Toc448391514" w:history="1">
            <w:r>
              <w:rPr>
                <w:rStyle w:val="ab"/>
                <w:rFonts w:hint="eastAsia"/>
              </w:rPr>
              <w:t>中国的航天工程</w:t>
            </w:r>
          </w:hyperlink>
        </w:p>
        <w:p w:rsidR="007D0552" w:rsidRDefault="00AF2484">
          <w:pPr>
            <w:pStyle w:val="10"/>
            <w:rPr>
              <w:rFonts w:asciiTheme="minorHAnsi" w:eastAsiaTheme="minorEastAsia"/>
              <w:color w:val="auto"/>
              <w:sz w:val="21"/>
              <w:szCs w:val="22"/>
            </w:rPr>
          </w:pPr>
          <w:hyperlink w:anchor="_Toc448391515" w:history="1">
            <w:r>
              <w:rPr>
                <w:rStyle w:val="ab"/>
                <w:rFonts w:hint="eastAsia"/>
              </w:rPr>
              <w:t>中国的高速铁路</w:t>
            </w:r>
          </w:hyperlink>
        </w:p>
        <w:p w:rsidR="007D0552" w:rsidRDefault="00AF2484">
          <w:pPr>
            <w:pStyle w:val="10"/>
            <w:rPr>
              <w:rFonts w:asciiTheme="minorHAnsi" w:eastAsiaTheme="minorEastAsia"/>
              <w:color w:val="auto"/>
              <w:sz w:val="21"/>
              <w:szCs w:val="22"/>
            </w:rPr>
          </w:pPr>
          <w:hyperlink w:anchor="_Toc448391516" w:history="1">
            <w:r>
              <w:rPr>
                <w:rStyle w:val="ab"/>
                <w:rFonts w:hint="eastAsia"/>
              </w:rPr>
              <w:t>秦山核电站</w:t>
            </w:r>
            <w:r>
              <w:rPr>
                <w:rStyle w:val="ab"/>
                <w:rFonts w:hint="eastAsia"/>
              </w:rPr>
              <w:t>：</w:t>
            </w:r>
            <w:r>
              <w:rPr>
                <w:rStyle w:val="ab"/>
                <w:rFonts w:hint="eastAsia"/>
              </w:rPr>
              <w:t>中国核电产业的缩影</w:t>
            </w:r>
          </w:hyperlink>
        </w:p>
        <w:p w:rsidR="007D0552" w:rsidRDefault="00AF2484">
          <w:pPr>
            <w:pStyle w:val="10"/>
            <w:rPr>
              <w:rFonts w:hAnsi="Times New Roman" w:cs="Times New Roman"/>
              <w:color w:val="auto"/>
            </w:rPr>
          </w:pPr>
          <w:hyperlink w:anchor="_Toc448391517" w:history="1">
            <w:r>
              <w:rPr>
                <w:rStyle w:val="ab"/>
              </w:rPr>
              <w:t>“</w:t>
            </w:r>
            <w:r>
              <w:rPr>
                <w:rStyle w:val="ab"/>
                <w:rFonts w:hint="eastAsia"/>
              </w:rPr>
              <w:t>十二五</w:t>
            </w:r>
            <w:r>
              <w:rPr>
                <w:rStyle w:val="ab"/>
              </w:rPr>
              <w:t>”</w:t>
            </w:r>
            <w:r>
              <w:rPr>
                <w:rStyle w:val="ab"/>
                <w:rFonts w:hint="eastAsia"/>
              </w:rPr>
              <w:t>基础研究</w:t>
            </w:r>
            <w:r>
              <w:rPr>
                <w:rStyle w:val="ab"/>
                <w:rFonts w:hint="eastAsia"/>
              </w:rPr>
              <w:t>成果</w:t>
            </w:r>
          </w:hyperlink>
          <w:r>
            <w:rPr>
              <w:rFonts w:hAnsi="Times New Roman" w:cs="Times New Roman" w:hint="eastAsia"/>
              <w:color w:val="auto"/>
            </w:rPr>
            <w:fldChar w:fldCharType="end"/>
          </w:r>
        </w:p>
        <w:p w:rsidR="007D0552" w:rsidRDefault="00AF2484"/>
      </w:sdtContent>
    </w:sdt>
    <w:p w:rsidR="007D0552" w:rsidRDefault="00AF2484">
      <w:r>
        <w:rPr>
          <w:rFonts w:ascii="黑体" w:eastAsia="黑体" w:hAnsi="宋体"/>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17145</wp:posOffset>
                </wp:positionV>
                <wp:extent cx="5400675" cy="0"/>
                <wp:effectExtent l="19050" t="1905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3pt;margin-top:1.35pt;height:0pt;width:425.25pt;z-index:251660288;mso-width-relative:page;mso-height-relative:page;" filled="f" stroked="t"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vQOBzywEAAIkDAAAOAAAAAAAAAAEAIAAAACUBAABk&#10;cnMvZTJvRG9jLnhtbFBLBQYAAAAABgAGAFkBAABiBQAAAAA=&#10;">
                <v:fill on="f" focussize="0,0"/>
                <v:stroke weight="2.25pt" color="#000000" joinstyle="round" dashstyle="1 1" endcap="round"/>
                <v:imagedata o:title=""/>
                <o:lock v:ext="edit" aspectratio="f"/>
              </v:shape>
            </w:pict>
          </mc:Fallback>
        </mc:AlternateContent>
      </w:r>
    </w:p>
    <w:p w:rsidR="007D0552" w:rsidRDefault="00AF2484">
      <w:pPr>
        <w:pStyle w:val="11"/>
        <w:numPr>
          <w:ilvl w:val="0"/>
          <w:numId w:val="1"/>
        </w:numPr>
        <w:ind w:firstLineChars="0"/>
        <w:rPr>
          <w:b/>
          <w:sz w:val="28"/>
          <w:szCs w:val="28"/>
        </w:rPr>
      </w:pPr>
      <w:r>
        <w:rPr>
          <w:rFonts w:hint="eastAsia"/>
          <w:b/>
          <w:sz w:val="28"/>
          <w:szCs w:val="28"/>
        </w:rPr>
        <w:t>国际科技合作动态</w:t>
      </w:r>
    </w:p>
    <w:p w:rsidR="007D0552" w:rsidRDefault="007D0552">
      <w:pPr>
        <w:widowControl/>
        <w:shd w:val="clear" w:color="auto" w:fill="FFFFFF"/>
        <w:spacing w:line="360" w:lineRule="exact"/>
        <w:rPr>
          <w:rFonts w:asciiTheme="minorEastAsia" w:hAnsiTheme="minorEastAsia"/>
        </w:rPr>
      </w:pPr>
    </w:p>
    <w:p w:rsidR="007D0552" w:rsidRDefault="00AF2484">
      <w:pPr>
        <w:pStyle w:val="a9"/>
      </w:pPr>
      <w:bookmarkStart w:id="0" w:name="_Toc448391506"/>
      <w:r>
        <w:rPr>
          <w:rFonts w:hint="eastAsia"/>
          <w:bCs w:val="0"/>
        </w:rPr>
        <w:t>中</w:t>
      </w:r>
      <w:proofErr w:type="gramStart"/>
      <w:r>
        <w:rPr>
          <w:rFonts w:hint="eastAsia"/>
          <w:bCs w:val="0"/>
        </w:rPr>
        <w:t>捷积极</w:t>
      </w:r>
      <w:proofErr w:type="gramEnd"/>
      <w:r>
        <w:rPr>
          <w:rFonts w:hint="eastAsia"/>
          <w:bCs w:val="0"/>
        </w:rPr>
        <w:t>推动科研成果转化等领域合作</w:t>
      </w:r>
      <w:bookmarkEnd w:id="0"/>
    </w:p>
    <w:p w:rsidR="007D0552" w:rsidRDefault="00AF2484">
      <w:pPr>
        <w:spacing w:line="360" w:lineRule="exact"/>
        <w:jc w:val="left"/>
        <w:rPr>
          <w:rStyle w:val="aa"/>
          <w:b w:val="0"/>
        </w:rPr>
      </w:pPr>
      <w:r>
        <w:rPr>
          <w:rStyle w:val="aa"/>
        </w:rPr>
        <w:lastRenderedPageBreak/>
        <w:tab/>
      </w:r>
      <w:r>
        <w:rPr>
          <w:rStyle w:val="aa"/>
          <w:rFonts w:hint="eastAsia"/>
          <w:b w:val="0"/>
        </w:rPr>
        <w:t>2016</w:t>
      </w:r>
      <w:r>
        <w:rPr>
          <w:rStyle w:val="aa"/>
          <w:rFonts w:hint="eastAsia"/>
          <w:b w:val="0"/>
        </w:rPr>
        <w:t>年</w:t>
      </w:r>
      <w:r>
        <w:rPr>
          <w:rStyle w:val="aa"/>
          <w:rFonts w:hint="eastAsia"/>
          <w:b w:val="0"/>
        </w:rPr>
        <w:t>3</w:t>
      </w:r>
      <w:r>
        <w:rPr>
          <w:rStyle w:val="aa"/>
          <w:rFonts w:hint="eastAsia"/>
          <w:b w:val="0"/>
        </w:rPr>
        <w:t>月</w:t>
      </w:r>
      <w:r>
        <w:rPr>
          <w:rStyle w:val="aa"/>
          <w:rFonts w:hint="eastAsia"/>
          <w:b w:val="0"/>
        </w:rPr>
        <w:t>7</w:t>
      </w:r>
      <w:r>
        <w:rPr>
          <w:rStyle w:val="aa"/>
          <w:rFonts w:hint="eastAsia"/>
          <w:b w:val="0"/>
        </w:rPr>
        <w:t>日，科技部部长</w:t>
      </w:r>
      <w:r>
        <w:rPr>
          <w:rStyle w:val="aa"/>
          <w:rFonts w:hint="eastAsia"/>
          <w:b w:val="0"/>
        </w:rPr>
        <w:t>万钢</w:t>
      </w:r>
      <w:r>
        <w:rPr>
          <w:rStyle w:val="aa"/>
          <w:rFonts w:hint="eastAsia"/>
          <w:b w:val="0"/>
        </w:rPr>
        <w:t>会见了捷克新任驻华大使科佩茨基。双方就深化中</w:t>
      </w:r>
      <w:proofErr w:type="gramStart"/>
      <w:r>
        <w:rPr>
          <w:rStyle w:val="aa"/>
          <w:rFonts w:hint="eastAsia"/>
          <w:b w:val="0"/>
        </w:rPr>
        <w:t>捷科技</w:t>
      </w:r>
      <w:proofErr w:type="gramEnd"/>
      <w:r>
        <w:rPr>
          <w:rStyle w:val="aa"/>
          <w:rFonts w:hint="eastAsia"/>
          <w:b w:val="0"/>
        </w:rPr>
        <w:t>创新合作事宜深入交换意见，并达成广泛共识。万钢部长对大使的来访表示欢迎，感谢大使对中</w:t>
      </w:r>
      <w:proofErr w:type="gramStart"/>
      <w:r>
        <w:rPr>
          <w:rStyle w:val="aa"/>
          <w:rFonts w:hint="eastAsia"/>
          <w:b w:val="0"/>
        </w:rPr>
        <w:t>捷科技</w:t>
      </w:r>
      <w:proofErr w:type="gramEnd"/>
      <w:r>
        <w:rPr>
          <w:rStyle w:val="aa"/>
          <w:rFonts w:hint="eastAsia"/>
          <w:b w:val="0"/>
        </w:rPr>
        <w:t>合作的关注，并对捷克驻华使馆作为双边合作桥梁所发挥的重要作用表示赞赏。万钢部长指出，在中捷政府间科技合作委员会的指导下，双方在科技领域合作已打下坚实基础，取得了很多务实成果。中方愿与捷方一道，积极落实双方去年</w:t>
      </w:r>
      <w:r>
        <w:rPr>
          <w:rStyle w:val="aa"/>
          <w:rFonts w:hint="eastAsia"/>
          <w:b w:val="0"/>
        </w:rPr>
        <w:t>11</w:t>
      </w:r>
      <w:r>
        <w:rPr>
          <w:rStyle w:val="aa"/>
          <w:rFonts w:hint="eastAsia"/>
          <w:b w:val="0"/>
        </w:rPr>
        <w:t>月签署的关于共同推进“一带一路”建设的谅解备忘录，推动在纳米、激光、医药和生物技术等高科技领域的合作。万钢部长强调，目前中国政府正在大力实施创新驱动发展战略，大</w:t>
      </w:r>
      <w:r>
        <w:rPr>
          <w:rStyle w:val="aa"/>
          <w:rFonts w:hint="eastAsia"/>
          <w:b w:val="0"/>
        </w:rPr>
        <w:t>众创业、万众创新正在蓬勃兴起，建议双方调动青年人在创新创业方面的积极性，加强两国青年一代的交流和合作。科佩茨基大使表示，捷克政府非常重视同中国的关系，将中捷在科技领域的合作视为双边关系的重中之重，愿积极推动两国科技合作，特别是双方在科研成果转化等领域的合作。</w:t>
      </w:r>
    </w:p>
    <w:p w:rsidR="007D0552" w:rsidRDefault="00AF2484">
      <w:pPr>
        <w:spacing w:line="360" w:lineRule="exact"/>
        <w:jc w:val="right"/>
        <w:rPr>
          <w:rStyle w:val="aa"/>
          <w:b w:val="0"/>
        </w:rPr>
      </w:pPr>
      <w:r>
        <w:rPr>
          <w:rFonts w:hint="eastAsia"/>
        </w:rPr>
        <w:t>（来源：科技部网站，</w:t>
      </w:r>
      <w:r>
        <w:rPr>
          <w:rFonts w:hint="eastAsia"/>
        </w:rPr>
        <w:t>2016</w:t>
      </w:r>
      <w:r>
        <w:rPr>
          <w:rFonts w:hint="eastAsia"/>
        </w:rPr>
        <w:t>年</w:t>
      </w:r>
      <w:r>
        <w:rPr>
          <w:rFonts w:hint="eastAsia"/>
        </w:rPr>
        <w:t>03</w:t>
      </w:r>
      <w:r>
        <w:rPr>
          <w:rFonts w:hint="eastAsia"/>
        </w:rPr>
        <w:t>月</w:t>
      </w:r>
      <w:r>
        <w:rPr>
          <w:rFonts w:hint="eastAsia"/>
        </w:rPr>
        <w:t>14</w:t>
      </w:r>
      <w:r>
        <w:rPr>
          <w:rFonts w:hint="eastAsia"/>
        </w:rPr>
        <w:t>日）</w:t>
      </w:r>
    </w:p>
    <w:p w:rsidR="007D0552" w:rsidRDefault="00AF2484">
      <w:pPr>
        <w:pStyle w:val="a9"/>
      </w:pPr>
      <w:bookmarkStart w:id="1" w:name="_Toc448391507"/>
      <w:r>
        <w:rPr>
          <w:rFonts w:hint="eastAsia"/>
        </w:rPr>
        <w:t>中巴重视科技创新合作与发展</w:t>
      </w:r>
      <w:bookmarkEnd w:id="1"/>
    </w:p>
    <w:p w:rsidR="007D0552" w:rsidRDefault="00AF2484">
      <w:pPr>
        <w:spacing w:line="360" w:lineRule="exact"/>
      </w:pPr>
      <w:r>
        <w:tab/>
      </w:r>
      <w:r>
        <w:rPr>
          <w:rFonts w:hint="eastAsia"/>
        </w:rPr>
        <w:t>2016</w:t>
      </w:r>
      <w:r>
        <w:rPr>
          <w:rFonts w:hint="eastAsia"/>
        </w:rPr>
        <w:t>年</w:t>
      </w:r>
      <w:r>
        <w:rPr>
          <w:rFonts w:hint="eastAsia"/>
        </w:rPr>
        <w:t>3</w:t>
      </w:r>
      <w:r>
        <w:rPr>
          <w:rFonts w:hint="eastAsia"/>
        </w:rPr>
        <w:t>月</w:t>
      </w:r>
      <w:r>
        <w:rPr>
          <w:rFonts w:hint="eastAsia"/>
        </w:rPr>
        <w:t>3</w:t>
      </w:r>
      <w:r>
        <w:rPr>
          <w:rFonts w:hint="eastAsia"/>
        </w:rPr>
        <w:t>日，科技部部长万钢会见了来访的巴西驻华大使江豹（</w:t>
      </w:r>
      <w:r>
        <w:rPr>
          <w:rFonts w:hint="eastAsia"/>
        </w:rPr>
        <w:t xml:space="preserve">Roberto </w:t>
      </w:r>
      <w:proofErr w:type="spellStart"/>
      <w:r>
        <w:rPr>
          <w:rFonts w:hint="eastAsia"/>
        </w:rPr>
        <w:t>Janguaribe</w:t>
      </w:r>
      <w:proofErr w:type="spellEnd"/>
      <w:r>
        <w:rPr>
          <w:rFonts w:hint="eastAsia"/>
        </w:rPr>
        <w:t>）一行。万钢部长表示中巴两国科技合作互补性强、发展潜力巨大，两国在农业食品、新能源、新材料及航空航天等领域通过共建联合实验室等方式开展了富有成效的合作，双方应继续加强在科技园区、青年科学家创新创业、人才交流等方面的合作，通过科技创新推动两国经济社会发展。江豹大使表示，本届巴西政府十分重视科技创新发展，把与中国的科技创新合作摆在了重要位置，两国合作空间巨大。希望未来双方通过高层互访、青年科学家交流等方式进一步推动科技交流，寻求产能合作机会，共同应对经济社会的挑战。</w:t>
      </w:r>
    </w:p>
    <w:p w:rsidR="007D0552" w:rsidRDefault="00AF2484">
      <w:pPr>
        <w:spacing w:line="360" w:lineRule="exact"/>
        <w:jc w:val="right"/>
      </w:pPr>
      <w:r>
        <w:rPr>
          <w:rFonts w:hint="eastAsia"/>
        </w:rPr>
        <w:t>（来源：科技部网站，</w:t>
      </w:r>
      <w:r>
        <w:rPr>
          <w:rFonts w:hint="eastAsia"/>
        </w:rPr>
        <w:t>20</w:t>
      </w:r>
      <w:r>
        <w:rPr>
          <w:rFonts w:hint="eastAsia"/>
        </w:rPr>
        <w:t>16</w:t>
      </w:r>
      <w:r>
        <w:rPr>
          <w:rFonts w:hint="eastAsia"/>
        </w:rPr>
        <w:t>年</w:t>
      </w:r>
      <w:r>
        <w:rPr>
          <w:rFonts w:hint="eastAsia"/>
        </w:rPr>
        <w:t>03</w:t>
      </w:r>
      <w:r>
        <w:rPr>
          <w:rFonts w:hint="eastAsia"/>
        </w:rPr>
        <w:t>月</w:t>
      </w:r>
      <w:r>
        <w:rPr>
          <w:rFonts w:hint="eastAsia"/>
        </w:rPr>
        <w:t>10</w:t>
      </w:r>
      <w:r>
        <w:rPr>
          <w:rFonts w:hint="eastAsia"/>
        </w:rPr>
        <w:t>日）</w:t>
      </w:r>
    </w:p>
    <w:p w:rsidR="007D0552" w:rsidRDefault="00AF2484">
      <w:pPr>
        <w:pStyle w:val="a9"/>
      </w:pPr>
      <w:bookmarkStart w:id="2" w:name="_Toc446577101"/>
      <w:bookmarkStart w:id="3" w:name="_Toc448391508"/>
      <w:r>
        <w:rPr>
          <w:rFonts w:hint="eastAsia"/>
        </w:rPr>
        <w:t>中澳火炬创新园合作伙伴协调会成功召开</w:t>
      </w:r>
      <w:bookmarkEnd w:id="2"/>
      <w:bookmarkEnd w:id="3"/>
    </w:p>
    <w:p w:rsidR="007D0552" w:rsidRDefault="00AF2484">
      <w:pPr>
        <w:widowControl/>
        <w:shd w:val="clear" w:color="auto" w:fill="FFFFFF"/>
        <w:spacing w:line="360" w:lineRule="exact"/>
        <w:jc w:val="left"/>
        <w:rPr>
          <w:rFonts w:asciiTheme="minorEastAsia" w:hAnsiTheme="minorEastAsia"/>
        </w:rPr>
      </w:pPr>
      <w:r>
        <w:rPr>
          <w:rFonts w:asciiTheme="minorEastAsia" w:hAnsiTheme="minorEastAsia"/>
        </w:rPr>
        <w:tab/>
      </w:r>
      <w:r>
        <w:rPr>
          <w:rFonts w:asciiTheme="minorEastAsia" w:hAnsiTheme="minorEastAsia" w:hint="eastAsia"/>
        </w:rPr>
        <w:t>为大力推动中澳火炬创新园的发展，科技部火炬中心于</w:t>
      </w:r>
      <w:r>
        <w:rPr>
          <w:rFonts w:asciiTheme="minorEastAsia" w:hAnsiTheme="minorEastAsia" w:hint="eastAsia"/>
        </w:rPr>
        <w:t>2016</w:t>
      </w:r>
      <w:r>
        <w:rPr>
          <w:rFonts w:asciiTheme="minorEastAsia" w:hAnsiTheme="minorEastAsia" w:hint="eastAsia"/>
        </w:rPr>
        <w:t>年</w:t>
      </w:r>
      <w:r>
        <w:rPr>
          <w:rFonts w:asciiTheme="minorEastAsia" w:hAnsiTheme="minorEastAsia" w:hint="eastAsia"/>
        </w:rPr>
        <w:t>3</w:t>
      </w:r>
      <w:r>
        <w:rPr>
          <w:rFonts w:asciiTheme="minorEastAsia" w:hAnsiTheme="minorEastAsia" w:hint="eastAsia"/>
        </w:rPr>
        <w:t>月</w:t>
      </w:r>
      <w:r>
        <w:rPr>
          <w:rFonts w:asciiTheme="minorEastAsia" w:hAnsiTheme="minorEastAsia" w:hint="eastAsia"/>
        </w:rPr>
        <w:t>1</w:t>
      </w:r>
      <w:r>
        <w:rPr>
          <w:rFonts w:asciiTheme="minorEastAsia" w:hAnsiTheme="minorEastAsia" w:hint="eastAsia"/>
        </w:rPr>
        <w:t>日组织召开了澳大利亚新南威尔士大学火炬创新园合作伙伴协调会，来自包括北京、深圳、西安、石家庄等地的</w:t>
      </w:r>
      <w:r>
        <w:rPr>
          <w:rFonts w:asciiTheme="minorEastAsia" w:hAnsiTheme="minorEastAsia" w:hint="eastAsia"/>
        </w:rPr>
        <w:t>25</w:t>
      </w:r>
      <w:r>
        <w:rPr>
          <w:rFonts w:asciiTheme="minorEastAsia" w:hAnsiTheme="minorEastAsia" w:hint="eastAsia"/>
        </w:rPr>
        <w:t>家企业和机构</w:t>
      </w:r>
      <w:r>
        <w:rPr>
          <w:rFonts w:asciiTheme="minorEastAsia" w:hAnsiTheme="minorEastAsia" w:hint="eastAsia"/>
        </w:rPr>
        <w:t>，</w:t>
      </w:r>
      <w:r>
        <w:rPr>
          <w:rFonts w:asciiTheme="minorEastAsia" w:hAnsiTheme="minorEastAsia" w:hint="eastAsia"/>
        </w:rPr>
        <w:t>近</w:t>
      </w:r>
      <w:r>
        <w:rPr>
          <w:rFonts w:asciiTheme="minorEastAsia" w:hAnsiTheme="minorEastAsia" w:hint="eastAsia"/>
        </w:rPr>
        <w:t>60</w:t>
      </w:r>
      <w:r>
        <w:rPr>
          <w:rFonts w:asciiTheme="minorEastAsia" w:hAnsiTheme="minorEastAsia" w:hint="eastAsia"/>
        </w:rPr>
        <w:t>人参加了会议。其中，</w:t>
      </w:r>
      <w:r>
        <w:rPr>
          <w:rFonts w:asciiTheme="minorEastAsia" w:hAnsiTheme="minorEastAsia" w:hint="eastAsia"/>
        </w:rPr>
        <w:t>13</w:t>
      </w:r>
      <w:r>
        <w:rPr>
          <w:rFonts w:asciiTheme="minorEastAsia" w:hAnsiTheme="minorEastAsia" w:hint="eastAsia"/>
        </w:rPr>
        <w:t>家企业和机构向澳方介绍了各自的基本情况，说明了合作需求。澳方承诺将继续与企业开展项目层面的深度对接，并现场邀请所有参会企业赴澳大利亚新南威尔士大学进行实地考察。</w:t>
      </w:r>
    </w:p>
    <w:p w:rsidR="007D0552" w:rsidRDefault="00AF2484">
      <w:pPr>
        <w:spacing w:line="360" w:lineRule="exact"/>
        <w:jc w:val="right"/>
      </w:pPr>
      <w:r>
        <w:rPr>
          <w:rFonts w:hint="eastAsia"/>
        </w:rPr>
        <w:t>（来源：科技部，</w:t>
      </w:r>
      <w:r>
        <w:rPr>
          <w:rFonts w:hint="eastAsia"/>
        </w:rPr>
        <w:t>2016</w:t>
      </w:r>
      <w:r>
        <w:rPr>
          <w:rFonts w:hint="eastAsia"/>
        </w:rPr>
        <w:t>年</w:t>
      </w:r>
      <w:r>
        <w:rPr>
          <w:rFonts w:hint="eastAsia"/>
        </w:rPr>
        <w:t>03</w:t>
      </w:r>
      <w:r>
        <w:rPr>
          <w:rFonts w:hint="eastAsia"/>
        </w:rPr>
        <w:t>月</w:t>
      </w:r>
      <w:r>
        <w:rPr>
          <w:rFonts w:hint="eastAsia"/>
        </w:rPr>
        <w:t>09</w:t>
      </w:r>
      <w:r>
        <w:rPr>
          <w:rFonts w:hint="eastAsia"/>
        </w:rPr>
        <w:t>日）</w:t>
      </w:r>
    </w:p>
    <w:p w:rsidR="007D0552" w:rsidRDefault="007D0552">
      <w:pPr>
        <w:spacing w:line="360" w:lineRule="exact"/>
        <w:jc w:val="right"/>
      </w:pPr>
    </w:p>
    <w:p w:rsidR="007D0552" w:rsidRDefault="00AF2484">
      <w:pPr>
        <w:pStyle w:val="11"/>
        <w:numPr>
          <w:ilvl w:val="0"/>
          <w:numId w:val="1"/>
        </w:numPr>
        <w:ind w:firstLineChars="0"/>
        <w:rPr>
          <w:b/>
          <w:sz w:val="28"/>
          <w:szCs w:val="28"/>
        </w:rPr>
      </w:pPr>
      <w:r>
        <w:rPr>
          <w:rFonts w:hint="eastAsia"/>
          <w:b/>
          <w:sz w:val="28"/>
          <w:szCs w:val="28"/>
        </w:rPr>
        <w:t>“</w:t>
      </w:r>
      <w:r>
        <w:rPr>
          <w:b/>
          <w:sz w:val="28"/>
          <w:szCs w:val="28"/>
        </w:rPr>
        <w:t>十二五</w:t>
      </w:r>
      <w:r>
        <w:rPr>
          <w:b/>
          <w:sz w:val="28"/>
          <w:szCs w:val="28"/>
        </w:rPr>
        <w:t>”</w:t>
      </w:r>
      <w:r>
        <w:rPr>
          <w:b/>
          <w:sz w:val="28"/>
          <w:szCs w:val="28"/>
        </w:rPr>
        <w:t>期间的研究和创新回顾</w:t>
      </w:r>
    </w:p>
    <w:p w:rsidR="007D0552" w:rsidRDefault="007D0552">
      <w:pPr>
        <w:widowControl/>
        <w:shd w:val="clear" w:color="auto" w:fill="FFFFFF"/>
        <w:spacing w:line="360" w:lineRule="exact"/>
        <w:jc w:val="left"/>
        <w:rPr>
          <w:rFonts w:asciiTheme="minorEastAsia" w:hAnsiTheme="minorEastAsia"/>
        </w:rPr>
      </w:pPr>
    </w:p>
    <w:p w:rsidR="007D0552" w:rsidRDefault="00AF2484">
      <w:pPr>
        <w:pStyle w:val="a9"/>
        <w:rPr>
          <w:rFonts w:ascii="ˎ̥" w:eastAsia="宋体" w:hAnsi="ˎ̥" w:cs="宋体"/>
          <w:kern w:val="0"/>
          <w:sz w:val="23"/>
          <w:szCs w:val="23"/>
        </w:rPr>
      </w:pPr>
      <w:bookmarkStart w:id="4" w:name="_Toc448391509"/>
      <w:r>
        <w:rPr>
          <w:rFonts w:hint="eastAsia"/>
        </w:rPr>
        <w:t>量子</w:t>
      </w:r>
      <w:r>
        <w:t>物理学研究</w:t>
      </w:r>
      <w:r>
        <w:rPr>
          <w:rFonts w:hint="eastAsia"/>
        </w:rPr>
        <w:t>的</w:t>
      </w:r>
      <w:r>
        <w:t>进展</w:t>
      </w:r>
      <w:bookmarkEnd w:id="4"/>
    </w:p>
    <w:p w:rsidR="007D0552" w:rsidRDefault="00AF2484">
      <w:pPr>
        <w:widowControl/>
        <w:shd w:val="clear" w:color="auto" w:fill="FFFFFF"/>
        <w:spacing w:line="360" w:lineRule="exact"/>
        <w:rPr>
          <w:rFonts w:asciiTheme="minorEastAsia" w:hAnsiTheme="minorEastAsia"/>
        </w:rPr>
      </w:pPr>
      <w:r>
        <w:rPr>
          <w:rFonts w:asciiTheme="minorEastAsia" w:hAnsiTheme="minorEastAsia"/>
        </w:rPr>
        <w:tab/>
        <w:t>2003</w:t>
      </w:r>
      <w:r>
        <w:rPr>
          <w:rFonts w:asciiTheme="minorEastAsia" w:hAnsiTheme="minorEastAsia" w:hint="eastAsia"/>
        </w:rPr>
        <w:t>年</w:t>
      </w:r>
      <w:r>
        <w:rPr>
          <w:rFonts w:asciiTheme="minorEastAsia" w:hAnsiTheme="minorEastAsia"/>
        </w:rPr>
        <w:t>，</w:t>
      </w:r>
      <w:r>
        <w:rPr>
          <w:rFonts w:asciiTheme="minorEastAsia" w:hAnsiTheme="minorEastAsia" w:hint="eastAsia"/>
        </w:rPr>
        <w:t>31</w:t>
      </w:r>
      <w:r>
        <w:rPr>
          <w:rFonts w:asciiTheme="minorEastAsia" w:hAnsiTheme="minorEastAsia" w:hint="eastAsia"/>
        </w:rPr>
        <w:t>岁的潘建伟在中国科学技术大学建立量子物理和量子信息实验室。此后</w:t>
      </w:r>
      <w:r>
        <w:rPr>
          <w:rFonts w:asciiTheme="minorEastAsia" w:hAnsiTheme="minorEastAsia"/>
        </w:rPr>
        <w:t>，</w:t>
      </w:r>
      <w:r>
        <w:rPr>
          <w:rFonts w:asciiTheme="minorEastAsia" w:hAnsiTheme="minorEastAsia" w:hint="eastAsia"/>
        </w:rPr>
        <w:t>潘和他</w:t>
      </w:r>
      <w:r>
        <w:rPr>
          <w:rFonts w:asciiTheme="minorEastAsia" w:hAnsiTheme="minorEastAsia"/>
        </w:rPr>
        <w:t>的</w:t>
      </w:r>
      <w:r>
        <w:rPr>
          <w:rFonts w:asciiTheme="minorEastAsia" w:hAnsiTheme="minorEastAsia" w:hint="eastAsia"/>
        </w:rPr>
        <w:t>团队</w:t>
      </w:r>
      <w:r>
        <w:rPr>
          <w:rFonts w:asciiTheme="minorEastAsia" w:hAnsiTheme="minorEastAsia" w:hint="eastAsia"/>
        </w:rPr>
        <w:t>6</w:t>
      </w:r>
      <w:r>
        <w:rPr>
          <w:rFonts w:asciiTheme="minorEastAsia" w:hAnsiTheme="minorEastAsia" w:hint="eastAsia"/>
        </w:rPr>
        <w:t>次入选欧洲物理学会评选的“年度物理学重大进展”，</w:t>
      </w:r>
      <w:r>
        <w:rPr>
          <w:rFonts w:asciiTheme="minorEastAsia" w:hAnsiTheme="minorEastAsia" w:hint="eastAsia"/>
        </w:rPr>
        <w:t>5</w:t>
      </w:r>
      <w:r>
        <w:rPr>
          <w:rFonts w:asciiTheme="minorEastAsia" w:hAnsiTheme="minorEastAsia" w:hint="eastAsia"/>
        </w:rPr>
        <w:t>次入选美国物理学会评选的“年度物理学重大事件”；</w:t>
      </w:r>
      <w:r>
        <w:rPr>
          <w:rFonts w:asciiTheme="minorEastAsia" w:hAnsiTheme="minorEastAsia" w:hint="eastAsia"/>
        </w:rPr>
        <w:t>2015</w:t>
      </w:r>
      <w:r>
        <w:rPr>
          <w:rFonts w:asciiTheme="minorEastAsia" w:hAnsiTheme="minorEastAsia" w:hint="eastAsia"/>
        </w:rPr>
        <w:t>年年底，欧洲物理学会公布了</w:t>
      </w:r>
      <w:r>
        <w:rPr>
          <w:rFonts w:asciiTheme="minorEastAsia" w:hAnsiTheme="minorEastAsia" w:hint="eastAsia"/>
        </w:rPr>
        <w:t>2015</w:t>
      </w:r>
      <w:r>
        <w:rPr>
          <w:rFonts w:asciiTheme="minorEastAsia" w:hAnsiTheme="minorEastAsia" w:hint="eastAsia"/>
        </w:rPr>
        <w:t>年度国际物理学领域的十项重大突破，潘建伟、陆朝阳等完成的“多自由度量子隐形传态”位居榜首。</w:t>
      </w:r>
    </w:p>
    <w:p w:rsidR="007D0552" w:rsidRDefault="00AF2484">
      <w:pPr>
        <w:widowControl/>
        <w:shd w:val="clear" w:color="auto" w:fill="FFFFFF"/>
        <w:spacing w:line="360" w:lineRule="exact"/>
        <w:ind w:firstLine="420"/>
        <w:jc w:val="left"/>
        <w:rPr>
          <w:rFonts w:asciiTheme="minorEastAsia" w:hAnsiTheme="minorEastAsia"/>
        </w:rPr>
      </w:pPr>
      <w:r>
        <w:rPr>
          <w:rFonts w:asciiTheme="minorEastAsia" w:hAnsiTheme="minorEastAsia" w:hint="eastAsia"/>
        </w:rPr>
        <w:t>多光子纠缠和干涉度量学是科学家潘建伟带领的“梦之队”的核心研究内容之一。让多个光子产生纠缠，是利用光子做量子</w:t>
      </w:r>
      <w:proofErr w:type="gramStart"/>
      <w:r>
        <w:rPr>
          <w:rFonts w:asciiTheme="minorEastAsia" w:hAnsiTheme="minorEastAsia" w:hint="eastAsia"/>
        </w:rPr>
        <w:t>隐形传态和</w:t>
      </w:r>
      <w:proofErr w:type="gramEnd"/>
      <w:r>
        <w:rPr>
          <w:rFonts w:asciiTheme="minorEastAsia" w:hAnsiTheme="minorEastAsia" w:hint="eastAsia"/>
        </w:rPr>
        <w:t>量子计算的必要前提。</w:t>
      </w:r>
      <w:r>
        <w:rPr>
          <w:rFonts w:asciiTheme="minorEastAsia" w:hAnsiTheme="minorEastAsia" w:hint="eastAsia"/>
        </w:rPr>
        <w:t>2012</w:t>
      </w:r>
      <w:r>
        <w:rPr>
          <w:rFonts w:asciiTheme="minorEastAsia" w:hAnsiTheme="minorEastAsia" w:hint="eastAsia"/>
        </w:rPr>
        <w:t>年，“梦之队”打</w:t>
      </w:r>
      <w:r>
        <w:rPr>
          <w:rFonts w:asciiTheme="minorEastAsia" w:hAnsiTheme="minorEastAsia" w:hint="eastAsia"/>
        </w:rPr>
        <w:t>破了自己的纪录，在世界上第一个实现了八光子纠缠。利用量子纠缠的特性，可以将粒子的性质进行远距离传输。</w:t>
      </w:r>
      <w:r>
        <w:rPr>
          <w:rFonts w:asciiTheme="minorEastAsia" w:hAnsiTheme="minorEastAsia" w:hint="eastAsia"/>
        </w:rPr>
        <w:t>2015</w:t>
      </w:r>
      <w:r>
        <w:rPr>
          <w:rFonts w:asciiTheme="minorEastAsia" w:hAnsiTheme="minorEastAsia" w:hint="eastAsia"/>
        </w:rPr>
        <w:t>年，潘建伟团队在世界上首次实现了单光子多自由度的量子隐形传态，“从基础研究的观点来说，我们首次证明一个粒子所有的性质在原理上都是可以被传输的。”潘</w:t>
      </w:r>
      <w:r>
        <w:rPr>
          <w:rFonts w:asciiTheme="minorEastAsia" w:hAnsiTheme="minorEastAsia"/>
        </w:rPr>
        <w:t>继</w:t>
      </w:r>
      <w:r>
        <w:rPr>
          <w:rFonts w:asciiTheme="minorEastAsia" w:hAnsiTheme="minorEastAsia" w:hint="eastAsia"/>
        </w:rPr>
        <w:t>伟</w:t>
      </w:r>
      <w:r>
        <w:rPr>
          <w:rFonts w:asciiTheme="minorEastAsia" w:hAnsiTheme="minorEastAsia"/>
        </w:rPr>
        <w:t>及其团队的工作为量子通信的发展奠定了基础。</w:t>
      </w:r>
    </w:p>
    <w:p w:rsidR="007D0552" w:rsidRDefault="00AF2484">
      <w:pPr>
        <w:jc w:val="right"/>
        <w:rPr>
          <w:shd w:val="clear" w:color="auto" w:fill="FFFFFF"/>
        </w:rPr>
      </w:pPr>
      <w:r>
        <w:rPr>
          <w:rFonts w:ascii="宋体" w:eastAsia="宋体" w:hAnsi="宋体" w:cs="Times New Roman" w:hint="eastAsia"/>
          <w:szCs w:val="21"/>
        </w:rPr>
        <w:t>（来源</w:t>
      </w:r>
      <w:r>
        <w:rPr>
          <w:rFonts w:ascii="宋体" w:eastAsia="宋体" w:hAnsi="宋体" w:cs="Times New Roman"/>
          <w:szCs w:val="21"/>
        </w:rPr>
        <w:t>：</w:t>
      </w:r>
      <w:r>
        <w:rPr>
          <w:rFonts w:ascii="宋体" w:eastAsia="宋体" w:hAnsi="宋体" w:cs="Times New Roman" w:hint="eastAsia"/>
          <w:szCs w:val="21"/>
        </w:rPr>
        <w:t>科技日报，</w:t>
      </w:r>
      <w:r>
        <w:rPr>
          <w:rFonts w:ascii="宋体" w:eastAsia="宋体" w:hAnsi="宋体" w:cs="Times New Roman" w:hint="eastAsia"/>
          <w:szCs w:val="21"/>
        </w:rPr>
        <w:t>201</w:t>
      </w:r>
      <w:r>
        <w:rPr>
          <w:rFonts w:ascii="宋体" w:eastAsia="宋体" w:hAnsi="宋体" w:cs="Times New Roman"/>
          <w:szCs w:val="21"/>
        </w:rPr>
        <w:t>6</w:t>
      </w:r>
      <w:r>
        <w:rPr>
          <w:rFonts w:ascii="宋体" w:eastAsia="宋体" w:hAnsi="宋体" w:cs="Times New Roman" w:hint="eastAsia"/>
          <w:szCs w:val="21"/>
        </w:rPr>
        <w:t>年</w:t>
      </w:r>
      <w:r>
        <w:rPr>
          <w:rFonts w:ascii="宋体" w:eastAsia="宋体" w:hAnsi="宋体" w:cs="Times New Roman" w:hint="eastAsia"/>
          <w:szCs w:val="21"/>
        </w:rPr>
        <w:t>03</w:t>
      </w:r>
      <w:r>
        <w:rPr>
          <w:rFonts w:ascii="宋体" w:eastAsia="宋体" w:hAnsi="宋体" w:cs="Times New Roman" w:hint="eastAsia"/>
          <w:szCs w:val="21"/>
        </w:rPr>
        <w:t>月</w:t>
      </w:r>
      <w:r>
        <w:rPr>
          <w:rFonts w:ascii="宋体" w:eastAsia="宋体" w:hAnsi="宋体" w:cs="Times New Roman" w:hint="eastAsia"/>
          <w:szCs w:val="21"/>
        </w:rPr>
        <w:t>05</w:t>
      </w:r>
      <w:r>
        <w:rPr>
          <w:rFonts w:ascii="宋体" w:eastAsia="宋体" w:hAnsi="宋体" w:cs="Times New Roman" w:hint="eastAsia"/>
          <w:szCs w:val="21"/>
        </w:rPr>
        <w:t>日）</w:t>
      </w:r>
    </w:p>
    <w:p w:rsidR="007D0552" w:rsidRDefault="007D0552">
      <w:pPr>
        <w:widowControl/>
        <w:shd w:val="clear" w:color="auto" w:fill="FFFFFF"/>
        <w:spacing w:line="360" w:lineRule="exact"/>
        <w:ind w:firstLine="420"/>
        <w:jc w:val="left"/>
        <w:rPr>
          <w:rFonts w:asciiTheme="minorEastAsia" w:hAnsiTheme="minorEastAsia"/>
        </w:rPr>
      </w:pPr>
    </w:p>
    <w:p w:rsidR="007D0552" w:rsidRDefault="00AF2484">
      <w:pPr>
        <w:pStyle w:val="a9"/>
        <w:rPr>
          <w:rFonts w:ascii="ˎ̥" w:eastAsia="宋体" w:hAnsi="ˎ̥" w:cs="宋体"/>
          <w:kern w:val="0"/>
          <w:sz w:val="23"/>
          <w:szCs w:val="23"/>
        </w:rPr>
      </w:pPr>
      <w:bookmarkStart w:id="5" w:name="_Toc448391510"/>
      <w:r>
        <w:rPr>
          <w:rFonts w:hint="eastAsia"/>
        </w:rPr>
        <w:t>基础</w:t>
      </w:r>
      <w:r>
        <w:t>物理学研究</w:t>
      </w:r>
      <w:r>
        <w:rPr>
          <w:rFonts w:hint="eastAsia"/>
        </w:rPr>
        <w:t>的</w:t>
      </w:r>
      <w:r>
        <w:t>进展</w:t>
      </w:r>
      <w:bookmarkEnd w:id="5"/>
    </w:p>
    <w:p w:rsidR="007D0552" w:rsidRDefault="00AF2484">
      <w:pPr>
        <w:widowControl/>
        <w:shd w:val="clear" w:color="auto" w:fill="FFFFFF"/>
        <w:spacing w:line="360" w:lineRule="exact"/>
        <w:jc w:val="left"/>
        <w:rPr>
          <w:rFonts w:asciiTheme="minorEastAsia" w:hAnsiTheme="minorEastAsia"/>
        </w:rPr>
      </w:pPr>
      <w:r>
        <w:rPr>
          <w:rFonts w:asciiTheme="minorEastAsia" w:hAnsiTheme="minorEastAsia"/>
        </w:rPr>
        <w:tab/>
      </w:r>
      <w:r>
        <w:rPr>
          <w:rFonts w:asciiTheme="minorEastAsia" w:hAnsiTheme="minorEastAsia" w:hint="eastAsia"/>
        </w:rPr>
        <w:t>大亚湾中微子实验是一个规模庞大的国际合作项目，启动于</w:t>
      </w:r>
      <w:r>
        <w:rPr>
          <w:rFonts w:asciiTheme="minorEastAsia" w:hAnsiTheme="minorEastAsia" w:hint="eastAsia"/>
        </w:rPr>
        <w:t>2006</w:t>
      </w:r>
      <w:r>
        <w:rPr>
          <w:rFonts w:asciiTheme="minorEastAsia" w:hAnsiTheme="minorEastAsia" w:hint="eastAsia"/>
        </w:rPr>
        <w:t>年。其中，主力队员来自于中科院高能物理研究所，王贻芳是项目的中方负责人。</w:t>
      </w:r>
      <w:r>
        <w:rPr>
          <w:rFonts w:asciiTheme="minorEastAsia" w:hAnsiTheme="minorEastAsia" w:hint="eastAsia"/>
        </w:rPr>
        <w:t>2012</w:t>
      </w:r>
      <w:r>
        <w:rPr>
          <w:rFonts w:asciiTheme="minorEastAsia" w:hAnsiTheme="minorEastAsia" w:hint="eastAsia"/>
        </w:rPr>
        <w:t>年</w:t>
      </w:r>
      <w:r>
        <w:rPr>
          <w:rFonts w:asciiTheme="minorEastAsia" w:hAnsiTheme="minorEastAsia" w:hint="eastAsia"/>
        </w:rPr>
        <w:t>8</w:t>
      </w:r>
      <w:r>
        <w:rPr>
          <w:rFonts w:asciiTheme="minorEastAsia" w:hAnsiTheme="minorEastAsia" w:hint="eastAsia"/>
        </w:rPr>
        <w:t>月，王贻芳在北京宣布，利用大亚湾核反应堆</w:t>
      </w:r>
      <w:proofErr w:type="gramStart"/>
      <w:r>
        <w:rPr>
          <w:rFonts w:asciiTheme="minorEastAsia" w:hAnsiTheme="minorEastAsia" w:hint="eastAsia"/>
        </w:rPr>
        <w:t>群产生</w:t>
      </w:r>
      <w:proofErr w:type="gramEnd"/>
      <w:r>
        <w:rPr>
          <w:rFonts w:asciiTheme="minorEastAsia" w:hAnsiTheme="minorEastAsia" w:hint="eastAsia"/>
        </w:rPr>
        <w:t>的大量中微子，寻找并精确测量到一种新的中微子振荡。该成果被世界权威学术杂志——美国《科学》评选为</w:t>
      </w:r>
      <w:r>
        <w:rPr>
          <w:rFonts w:asciiTheme="minorEastAsia" w:hAnsiTheme="minorEastAsia" w:hint="eastAsia"/>
        </w:rPr>
        <w:t>2012</w:t>
      </w:r>
      <w:r>
        <w:rPr>
          <w:rFonts w:asciiTheme="minorEastAsia" w:hAnsiTheme="minorEastAsia" w:hint="eastAsia"/>
        </w:rPr>
        <w:t>年度十大科学突破之一，并获得了</w:t>
      </w:r>
      <w:r>
        <w:rPr>
          <w:rFonts w:asciiTheme="minorEastAsia" w:hAnsiTheme="minorEastAsia" w:hint="eastAsia"/>
        </w:rPr>
        <w:t>2014</w:t>
      </w:r>
      <w:r>
        <w:rPr>
          <w:rFonts w:asciiTheme="minorEastAsia" w:hAnsiTheme="minorEastAsia" w:hint="eastAsia"/>
        </w:rPr>
        <w:t>年美国物理学会粒子物理最高奖——潘诺夫斯基奖，</w:t>
      </w:r>
      <w:r>
        <w:rPr>
          <w:rFonts w:asciiTheme="minorEastAsia" w:hAnsiTheme="minorEastAsia" w:hint="eastAsia"/>
        </w:rPr>
        <w:t>2015</w:t>
      </w:r>
      <w:r>
        <w:rPr>
          <w:rFonts w:asciiTheme="minorEastAsia" w:hAnsiTheme="minorEastAsia" w:hint="eastAsia"/>
        </w:rPr>
        <w:t>年日经亚洲成就奖和</w:t>
      </w:r>
      <w:r>
        <w:rPr>
          <w:rFonts w:asciiTheme="minorEastAsia" w:hAnsiTheme="minorEastAsia" w:hint="eastAsia"/>
        </w:rPr>
        <w:t>2016</w:t>
      </w:r>
      <w:r>
        <w:rPr>
          <w:rFonts w:asciiTheme="minorEastAsia" w:hAnsiTheme="minorEastAsia" w:hint="eastAsia"/>
        </w:rPr>
        <w:t>年基础物理学突破奖。</w:t>
      </w:r>
    </w:p>
    <w:p w:rsidR="007D0552" w:rsidRDefault="00AF2484">
      <w:pPr>
        <w:widowControl/>
        <w:shd w:val="clear" w:color="auto" w:fill="FFFFFF"/>
        <w:spacing w:line="360" w:lineRule="exact"/>
        <w:ind w:firstLine="420"/>
        <w:jc w:val="left"/>
        <w:rPr>
          <w:rFonts w:asciiTheme="minorEastAsia" w:hAnsiTheme="minorEastAsia"/>
        </w:rPr>
      </w:pPr>
      <w:r>
        <w:rPr>
          <w:rFonts w:asciiTheme="minorEastAsia" w:hAnsiTheme="minorEastAsia" w:hint="eastAsia"/>
        </w:rPr>
        <w:t>《科学》杂志</w:t>
      </w:r>
      <w:proofErr w:type="gramStart"/>
      <w:r>
        <w:rPr>
          <w:rFonts w:asciiTheme="minorEastAsia" w:hAnsiTheme="minorEastAsia" w:hint="eastAsia"/>
        </w:rPr>
        <w:t>在线版</w:t>
      </w:r>
      <w:proofErr w:type="gramEnd"/>
      <w:r>
        <w:rPr>
          <w:rFonts w:asciiTheme="minorEastAsia" w:hAnsiTheme="minorEastAsia" w:hint="eastAsia"/>
        </w:rPr>
        <w:t>“科学此刻”栏目评价说：“此次成果完成了一幅中微子的概念图，</w:t>
      </w:r>
      <w:r>
        <w:rPr>
          <w:rFonts w:asciiTheme="minorEastAsia" w:hAnsiTheme="minorEastAsia" w:hint="eastAsia"/>
        </w:rPr>
        <w:t>这为‘中微子与反中微子行为间不对称’的实验铺平了道路，将可以解释为何现在的宇宙中有如此多物质，却只有一丁点儿反物质这一问题。”目前，中国主持的第二个大型中微子试验站江门中微子试验站已经正式启动建设。它的规模比大亚湾大</w:t>
      </w:r>
      <w:r>
        <w:rPr>
          <w:rFonts w:asciiTheme="minorEastAsia" w:hAnsiTheme="minorEastAsia" w:hint="eastAsia"/>
        </w:rPr>
        <w:t>100</w:t>
      </w:r>
      <w:r>
        <w:rPr>
          <w:rFonts w:asciiTheme="minorEastAsia" w:hAnsiTheme="minorEastAsia" w:hint="eastAsia"/>
        </w:rPr>
        <w:t>倍，预计</w:t>
      </w:r>
      <w:r>
        <w:rPr>
          <w:rFonts w:asciiTheme="minorEastAsia" w:hAnsiTheme="minorEastAsia" w:hint="eastAsia"/>
        </w:rPr>
        <w:t>2020</w:t>
      </w:r>
      <w:r>
        <w:rPr>
          <w:rFonts w:asciiTheme="minorEastAsia" w:hAnsiTheme="minorEastAsia" w:hint="eastAsia"/>
        </w:rPr>
        <w:t>年完成建设开始运行。实验建造的中微子探测器将是世界上能量精度最高、规模最大的液体闪烁体探测器。这一实验的启动标志着我国中微子实验研究从起步</w:t>
      </w:r>
      <w:r>
        <w:rPr>
          <w:rFonts w:asciiTheme="minorEastAsia" w:hAnsiTheme="minorEastAsia"/>
        </w:rPr>
        <w:t>到跨越的转变。</w:t>
      </w:r>
    </w:p>
    <w:p w:rsidR="007D0552" w:rsidRDefault="00AF2484">
      <w:pPr>
        <w:jc w:val="right"/>
        <w:rPr>
          <w:shd w:val="clear" w:color="auto" w:fill="FFFFFF"/>
        </w:rPr>
      </w:pPr>
      <w:r>
        <w:rPr>
          <w:rFonts w:ascii="宋体" w:eastAsia="宋体" w:hAnsi="宋体" w:cs="Times New Roman" w:hint="eastAsia"/>
          <w:szCs w:val="21"/>
        </w:rPr>
        <w:t>（来源</w:t>
      </w:r>
      <w:r>
        <w:rPr>
          <w:rFonts w:ascii="宋体" w:eastAsia="宋体" w:hAnsi="宋体" w:cs="Times New Roman"/>
          <w:szCs w:val="21"/>
        </w:rPr>
        <w:t>：</w:t>
      </w:r>
      <w:r>
        <w:rPr>
          <w:rFonts w:ascii="宋体" w:eastAsia="宋体" w:hAnsi="宋体" w:cs="Times New Roman" w:hint="eastAsia"/>
          <w:szCs w:val="21"/>
        </w:rPr>
        <w:t>科技日报，</w:t>
      </w:r>
      <w:r>
        <w:rPr>
          <w:rFonts w:ascii="宋体" w:eastAsia="宋体" w:hAnsi="宋体" w:cs="Times New Roman" w:hint="eastAsia"/>
          <w:szCs w:val="21"/>
        </w:rPr>
        <w:t>201</w:t>
      </w:r>
      <w:r>
        <w:rPr>
          <w:rFonts w:ascii="宋体" w:eastAsia="宋体" w:hAnsi="宋体" w:cs="Times New Roman"/>
          <w:szCs w:val="21"/>
        </w:rPr>
        <w:t>6</w:t>
      </w:r>
      <w:r>
        <w:rPr>
          <w:rFonts w:ascii="宋体" w:eastAsia="宋体" w:hAnsi="宋体" w:cs="Times New Roman" w:hint="eastAsia"/>
          <w:szCs w:val="21"/>
        </w:rPr>
        <w:t>年</w:t>
      </w:r>
      <w:r>
        <w:rPr>
          <w:rFonts w:ascii="宋体" w:eastAsia="宋体" w:hAnsi="宋体" w:cs="Times New Roman" w:hint="eastAsia"/>
          <w:szCs w:val="21"/>
        </w:rPr>
        <w:t>03</w:t>
      </w:r>
      <w:r>
        <w:rPr>
          <w:rFonts w:ascii="宋体" w:eastAsia="宋体" w:hAnsi="宋体" w:cs="Times New Roman" w:hint="eastAsia"/>
          <w:szCs w:val="21"/>
        </w:rPr>
        <w:t>月</w:t>
      </w:r>
      <w:r>
        <w:rPr>
          <w:rFonts w:ascii="宋体" w:eastAsia="宋体" w:hAnsi="宋体" w:cs="Times New Roman" w:hint="eastAsia"/>
          <w:szCs w:val="21"/>
        </w:rPr>
        <w:t>05</w:t>
      </w:r>
      <w:r>
        <w:rPr>
          <w:rFonts w:ascii="宋体" w:eastAsia="宋体" w:hAnsi="宋体" w:cs="Times New Roman" w:hint="eastAsia"/>
          <w:szCs w:val="21"/>
        </w:rPr>
        <w:t>日）</w:t>
      </w:r>
    </w:p>
    <w:p w:rsidR="007D0552" w:rsidRDefault="007D0552">
      <w:pPr>
        <w:widowControl/>
        <w:shd w:val="clear" w:color="auto" w:fill="FFFFFF"/>
        <w:spacing w:line="360" w:lineRule="exact"/>
        <w:ind w:firstLine="420"/>
        <w:jc w:val="left"/>
        <w:rPr>
          <w:rFonts w:asciiTheme="minorEastAsia" w:hAnsiTheme="minorEastAsia"/>
        </w:rPr>
      </w:pPr>
    </w:p>
    <w:p w:rsidR="007D0552" w:rsidRDefault="00AF2484">
      <w:pPr>
        <w:pStyle w:val="a9"/>
      </w:pPr>
      <w:bookmarkStart w:id="6" w:name="_Toc448391511"/>
      <w:r>
        <w:rPr>
          <w:rFonts w:hint="eastAsia"/>
        </w:rPr>
        <w:t>中国的超导</w:t>
      </w:r>
      <w:r>
        <w:t>研究</w:t>
      </w:r>
      <w:r>
        <w:rPr>
          <w:rFonts w:hint="eastAsia"/>
        </w:rPr>
        <w:t>进展</w:t>
      </w:r>
      <w:bookmarkEnd w:id="6"/>
    </w:p>
    <w:p w:rsidR="007D0552" w:rsidRDefault="00AF2484">
      <w:pPr>
        <w:spacing w:line="360" w:lineRule="exact"/>
      </w:pPr>
      <w:r>
        <w:tab/>
      </w:r>
      <w:r>
        <w:rPr>
          <w:rFonts w:hint="eastAsia"/>
        </w:rPr>
        <w:t>1987</w:t>
      </w:r>
      <w:r>
        <w:rPr>
          <w:rFonts w:hint="eastAsia"/>
        </w:rPr>
        <w:t>年中国</w:t>
      </w:r>
      <w:r>
        <w:t>的研究人员在</w:t>
      </w:r>
      <w:r>
        <w:rPr>
          <w:rFonts w:hint="eastAsia"/>
        </w:rPr>
        <w:t>超导研究领域</w:t>
      </w:r>
      <w:r>
        <w:t>取得了</w:t>
      </w:r>
      <w:r>
        <w:rPr>
          <w:rFonts w:hint="eastAsia"/>
        </w:rPr>
        <w:t>早期</w:t>
      </w:r>
      <w:r>
        <w:t>的成就。</w:t>
      </w:r>
      <w:r>
        <w:rPr>
          <w:rFonts w:hint="eastAsia"/>
        </w:rPr>
        <w:t>北大物理系实现在绝对温度</w:t>
      </w:r>
      <w:r>
        <w:rPr>
          <w:rFonts w:hint="eastAsia"/>
        </w:rPr>
        <w:t>91K</w:t>
      </w:r>
      <w:r>
        <w:rPr>
          <w:rFonts w:hint="eastAsia"/>
        </w:rPr>
        <w:t>时超导材料电阻为零，</w:t>
      </w:r>
      <w:r>
        <w:t>取得了与日本同行相同的结果</w:t>
      </w:r>
      <w:r>
        <w:rPr>
          <w:rFonts w:hint="eastAsia"/>
        </w:rPr>
        <w:t>。</w:t>
      </w:r>
      <w:r>
        <w:rPr>
          <w:rFonts w:hint="eastAsia"/>
        </w:rPr>
        <w:t>2008</w:t>
      </w:r>
      <w:r>
        <w:rPr>
          <w:rFonts w:hint="eastAsia"/>
        </w:rPr>
        <w:t>年</w:t>
      </w:r>
      <w:r>
        <w:rPr>
          <w:rFonts w:hint="eastAsia"/>
        </w:rPr>
        <w:t>5</w:t>
      </w:r>
      <w:r>
        <w:rPr>
          <w:rFonts w:hint="eastAsia"/>
        </w:rPr>
        <w:t>月</w:t>
      </w:r>
      <w:r>
        <w:rPr>
          <w:rFonts w:hint="eastAsia"/>
        </w:rPr>
        <w:t>10</w:t>
      </w:r>
      <w:r>
        <w:rPr>
          <w:rFonts w:hint="eastAsia"/>
        </w:rPr>
        <w:t>日，中科院物理所宣布，该所在国际凝聚态物理学界主导了新一波的高温超导研究热。在此之前的超导研究，一般都使用铜基材料，铁因具有磁性从未被列入超导材料之列。在日本科学家指出氟掺杂</w:t>
      </w:r>
      <w:proofErr w:type="gramStart"/>
      <w:r>
        <w:rPr>
          <w:rFonts w:hint="eastAsia"/>
        </w:rPr>
        <w:t>镧氧铁砷</w:t>
      </w:r>
      <w:proofErr w:type="gramEnd"/>
      <w:r>
        <w:rPr>
          <w:rFonts w:hint="eastAsia"/>
        </w:rPr>
        <w:t>化合物在</w:t>
      </w:r>
      <w:r>
        <w:rPr>
          <w:rFonts w:hint="eastAsia"/>
        </w:rPr>
        <w:t>26 K</w:t>
      </w:r>
      <w:r>
        <w:rPr>
          <w:rFonts w:hint="eastAsia"/>
        </w:rPr>
        <w:t>（－</w:t>
      </w:r>
      <w:r>
        <w:rPr>
          <w:rFonts w:hint="eastAsia"/>
        </w:rPr>
        <w:t>247.15</w:t>
      </w:r>
      <w:r>
        <w:rPr>
          <w:rFonts w:hint="eastAsia"/>
        </w:rPr>
        <w:t>°</w:t>
      </w:r>
      <w:r>
        <w:rPr>
          <w:rFonts w:hint="eastAsia"/>
        </w:rPr>
        <w:t>C</w:t>
      </w:r>
      <w:r>
        <w:rPr>
          <w:rFonts w:hint="eastAsia"/>
        </w:rPr>
        <w:t>）时具有超导电性后，中国多个科研小组开始了铁基超导材料的研究，</w:t>
      </w:r>
      <w:r>
        <w:t>取得了与日本同行相同的结果</w:t>
      </w:r>
      <w:r>
        <w:rPr>
          <w:rFonts w:hint="eastAsia"/>
        </w:rPr>
        <w:t>。</w:t>
      </w:r>
      <w:r>
        <w:rPr>
          <w:rFonts w:hint="eastAsia"/>
        </w:rPr>
        <w:t>2014</w:t>
      </w:r>
      <w:r>
        <w:rPr>
          <w:rFonts w:hint="eastAsia"/>
        </w:rPr>
        <w:t>年</w:t>
      </w:r>
      <w:r>
        <w:rPr>
          <w:rFonts w:hint="eastAsia"/>
        </w:rPr>
        <w:t>1</w:t>
      </w:r>
      <w:r>
        <w:rPr>
          <w:rFonts w:hint="eastAsia"/>
        </w:rPr>
        <w:t>月</w:t>
      </w:r>
      <w:r>
        <w:rPr>
          <w:rFonts w:hint="eastAsia"/>
        </w:rPr>
        <w:t>10</w:t>
      </w:r>
      <w:r>
        <w:rPr>
          <w:rFonts w:hint="eastAsia"/>
        </w:rPr>
        <w:t>日，铁基超导研究获得国家自然科学一等奖。</w:t>
      </w:r>
    </w:p>
    <w:p w:rsidR="007D0552" w:rsidRDefault="007D0552">
      <w:pPr>
        <w:spacing w:line="360" w:lineRule="exact"/>
      </w:pPr>
    </w:p>
    <w:p w:rsidR="007D0552" w:rsidRDefault="00AF2484">
      <w:pPr>
        <w:spacing w:line="360" w:lineRule="exact"/>
        <w:jc w:val="right"/>
      </w:pPr>
      <w:r>
        <w:rPr>
          <w:rFonts w:hint="eastAsia"/>
        </w:rPr>
        <w:t>（来源：科技日报，</w:t>
      </w:r>
      <w:r>
        <w:rPr>
          <w:rFonts w:hint="eastAsia"/>
        </w:rPr>
        <w:t>2016</w:t>
      </w:r>
      <w:r>
        <w:rPr>
          <w:rFonts w:hint="eastAsia"/>
        </w:rPr>
        <w:t>年</w:t>
      </w:r>
      <w:r>
        <w:rPr>
          <w:rFonts w:hint="eastAsia"/>
        </w:rPr>
        <w:t>03</w:t>
      </w:r>
      <w:r>
        <w:rPr>
          <w:rFonts w:hint="eastAsia"/>
        </w:rPr>
        <w:t>月</w:t>
      </w:r>
      <w:r>
        <w:rPr>
          <w:rFonts w:hint="eastAsia"/>
        </w:rPr>
        <w:t>05</w:t>
      </w:r>
      <w:r>
        <w:rPr>
          <w:rFonts w:hint="eastAsia"/>
        </w:rPr>
        <w:t>日）</w:t>
      </w:r>
    </w:p>
    <w:p w:rsidR="007D0552" w:rsidRDefault="00AF2484">
      <w:pPr>
        <w:pStyle w:val="a9"/>
      </w:pPr>
      <w:bookmarkStart w:id="7" w:name="_Toc448391512"/>
      <w:r>
        <w:rPr>
          <w:rFonts w:hint="eastAsia"/>
        </w:rPr>
        <w:t>北京</w:t>
      </w:r>
      <w:r>
        <w:t>正负电子对撞机</w:t>
      </w:r>
      <w:bookmarkEnd w:id="7"/>
    </w:p>
    <w:p w:rsidR="007D0552" w:rsidRDefault="00AF2484">
      <w:pPr>
        <w:spacing w:line="360" w:lineRule="exact"/>
      </w:pPr>
      <w:r>
        <w:tab/>
      </w:r>
      <w:r>
        <w:rPr>
          <w:rFonts w:hint="eastAsia"/>
        </w:rPr>
        <w:t>1987</w:t>
      </w:r>
      <w:r>
        <w:rPr>
          <w:rFonts w:hint="eastAsia"/>
        </w:rPr>
        <w:t>年，北京正负电子对撞机进入安装调试阶段，此后</w:t>
      </w:r>
      <w:r>
        <w:t>这一重要装置一直在世界</w:t>
      </w:r>
      <w:r>
        <w:rPr>
          <w:rFonts w:hint="eastAsia"/>
        </w:rPr>
        <w:t>高能物理</w:t>
      </w:r>
      <w:r>
        <w:t>物理领域中扮演</w:t>
      </w:r>
      <w:r>
        <w:rPr>
          <w:rFonts w:hint="eastAsia"/>
        </w:rPr>
        <w:t>着</w:t>
      </w:r>
      <w:r>
        <w:t>重要角色</w:t>
      </w:r>
      <w:r>
        <w:rPr>
          <w:rFonts w:hint="eastAsia"/>
        </w:rPr>
        <w:t>。据</w:t>
      </w:r>
      <w:r>
        <w:t>介绍</w:t>
      </w:r>
      <w:r>
        <w:rPr>
          <w:rFonts w:hint="eastAsia"/>
        </w:rPr>
        <w:t>这台大科学装置从建成到改造一直都在发挥出色的作用，尤其是改造后性能的提高，使科研人员在轻强子谱的研究、</w:t>
      </w:r>
      <w:proofErr w:type="gramStart"/>
      <w:r>
        <w:rPr>
          <w:rFonts w:hint="eastAsia"/>
        </w:rPr>
        <w:t>粲</w:t>
      </w:r>
      <w:proofErr w:type="gramEnd"/>
      <w:r>
        <w:rPr>
          <w:rFonts w:hint="eastAsia"/>
        </w:rPr>
        <w:t>偶素的衰变等方面取得多项重大物理成果。同时，它的建设和运行还产生了很多“副产品”，其自主研制的设备超过</w:t>
      </w:r>
      <w:r>
        <w:rPr>
          <w:rFonts w:hint="eastAsia"/>
        </w:rPr>
        <w:t>85%</w:t>
      </w:r>
      <w:r>
        <w:rPr>
          <w:rFonts w:hint="eastAsia"/>
        </w:rPr>
        <w:t>，为后续的大亚湾反应堆中微子实验、中国散裂中子源和加速器驱动次临界系统等奠定了技术和人才基础。目前，它每年为</w:t>
      </w:r>
      <w:r>
        <w:rPr>
          <w:rFonts w:hint="eastAsia"/>
        </w:rPr>
        <w:t>100</w:t>
      </w:r>
      <w:r>
        <w:rPr>
          <w:rFonts w:hint="eastAsia"/>
        </w:rPr>
        <w:t>多个科研单位的</w:t>
      </w:r>
      <w:r>
        <w:rPr>
          <w:rFonts w:hint="eastAsia"/>
        </w:rPr>
        <w:t>500</w:t>
      </w:r>
      <w:r>
        <w:rPr>
          <w:rFonts w:hint="eastAsia"/>
        </w:rPr>
        <w:t>多个课题提供服务。</w:t>
      </w:r>
    </w:p>
    <w:p w:rsidR="007D0552" w:rsidRDefault="00AF2484">
      <w:pPr>
        <w:spacing w:line="360" w:lineRule="exact"/>
        <w:jc w:val="right"/>
      </w:pPr>
      <w:r>
        <w:rPr>
          <w:rFonts w:hint="eastAsia"/>
        </w:rPr>
        <w:t>（来</w:t>
      </w:r>
      <w:r>
        <w:rPr>
          <w:rFonts w:hint="eastAsia"/>
        </w:rPr>
        <w:t>源：科技日报，</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p>
    <w:p w:rsidR="007D0552" w:rsidRDefault="007D0552">
      <w:pPr>
        <w:spacing w:line="360" w:lineRule="exact"/>
      </w:pPr>
    </w:p>
    <w:p w:rsidR="007D0552" w:rsidRDefault="00AF2484">
      <w:pPr>
        <w:pStyle w:val="a9"/>
      </w:pPr>
      <w:bookmarkStart w:id="8" w:name="_Toc448391513"/>
      <w:r>
        <w:rPr>
          <w:rFonts w:hint="eastAsia"/>
        </w:rPr>
        <w:t>中国</w:t>
      </w:r>
      <w:r>
        <w:t>的超级计算机</w:t>
      </w:r>
      <w:bookmarkEnd w:id="8"/>
    </w:p>
    <w:p w:rsidR="007D0552" w:rsidRDefault="007D0552">
      <w:pPr>
        <w:spacing w:line="360" w:lineRule="exact"/>
        <w:jc w:val="left"/>
      </w:pPr>
    </w:p>
    <w:p w:rsidR="007D0552" w:rsidRDefault="00AF2484">
      <w:pPr>
        <w:spacing w:line="360" w:lineRule="exact"/>
        <w:jc w:val="left"/>
      </w:pPr>
      <w:r>
        <w:tab/>
      </w:r>
      <w:r>
        <w:rPr>
          <w:rFonts w:hint="eastAsia"/>
        </w:rPr>
        <w:t>超级计算机是大国综合实力的象征，也是确保国家竞争优势的重要保证。在科学技术飞速发展的今天，超级计算机已成为大国重器之一。</w:t>
      </w:r>
      <w:r>
        <w:rPr>
          <w:rFonts w:hint="eastAsia"/>
        </w:rPr>
        <w:t>2009</w:t>
      </w:r>
      <w:r>
        <w:rPr>
          <w:rFonts w:hint="eastAsia"/>
        </w:rPr>
        <w:t>年</w:t>
      </w:r>
      <w:r>
        <w:rPr>
          <w:rFonts w:hint="eastAsia"/>
        </w:rPr>
        <w:t>10</w:t>
      </w:r>
      <w:r>
        <w:rPr>
          <w:rFonts w:hint="eastAsia"/>
        </w:rPr>
        <w:t>月，国防</w:t>
      </w:r>
      <w:r>
        <w:t>科技大</w:t>
      </w:r>
      <w:r>
        <w:rPr>
          <w:rFonts w:hint="eastAsia"/>
        </w:rPr>
        <w:t>学将我国首台千万亿次超级计算机系统——“天河一号”展现在世人面前，使我国成为世界上继美国之后，第二个能研制千万亿次超级计算机系统的国家。</w:t>
      </w:r>
      <w:r>
        <w:rPr>
          <w:rFonts w:hint="eastAsia"/>
        </w:rPr>
        <w:t>2015</w:t>
      </w:r>
      <w:r>
        <w:rPr>
          <w:rFonts w:hint="eastAsia"/>
        </w:rPr>
        <w:t>年</w:t>
      </w:r>
      <w:r>
        <w:rPr>
          <w:rFonts w:hint="eastAsia"/>
        </w:rPr>
        <w:t>7</w:t>
      </w:r>
      <w:r>
        <w:rPr>
          <w:rFonts w:hint="eastAsia"/>
        </w:rPr>
        <w:t>月</w:t>
      </w:r>
      <w:r>
        <w:rPr>
          <w:rFonts w:hint="eastAsia"/>
        </w:rPr>
        <w:t>13</w:t>
      </w:r>
      <w:r>
        <w:rPr>
          <w:rFonts w:hint="eastAsia"/>
        </w:rPr>
        <w:t>日，在超级计算机</w:t>
      </w:r>
      <w:r>
        <w:rPr>
          <w:rFonts w:hint="eastAsia"/>
        </w:rPr>
        <w:t>TOP500</w:t>
      </w:r>
      <w:r>
        <w:rPr>
          <w:rFonts w:hint="eastAsia"/>
        </w:rPr>
        <w:t>组织发布的第</w:t>
      </w:r>
      <w:r>
        <w:rPr>
          <w:rFonts w:hint="eastAsia"/>
        </w:rPr>
        <w:t>45</w:t>
      </w:r>
      <w:r>
        <w:rPr>
          <w:rFonts w:hint="eastAsia"/>
        </w:rPr>
        <w:t>届世界</w:t>
      </w:r>
      <w:r>
        <w:rPr>
          <w:rFonts w:hint="eastAsia"/>
        </w:rPr>
        <w:t>500</w:t>
      </w:r>
      <w:r>
        <w:rPr>
          <w:rFonts w:hint="eastAsia"/>
        </w:rPr>
        <w:t>强排行榜上，天河二号超级计算机系统再次位居第一，这也是天河二号连续</w:t>
      </w:r>
      <w:r>
        <w:rPr>
          <w:rFonts w:hint="eastAsia"/>
        </w:rPr>
        <w:t>5</w:t>
      </w:r>
      <w:r>
        <w:rPr>
          <w:rFonts w:hint="eastAsia"/>
        </w:rPr>
        <w:t>次位居</w:t>
      </w:r>
      <w:proofErr w:type="gramStart"/>
      <w:r>
        <w:rPr>
          <w:rFonts w:hint="eastAsia"/>
        </w:rPr>
        <w:t>世界超算</w:t>
      </w:r>
      <w:proofErr w:type="gramEnd"/>
      <w:r>
        <w:rPr>
          <w:rFonts w:hint="eastAsia"/>
        </w:rPr>
        <w:t>500</w:t>
      </w:r>
      <w:r>
        <w:rPr>
          <w:rFonts w:hint="eastAsia"/>
        </w:rPr>
        <w:t>强</w:t>
      </w:r>
      <w:r>
        <w:rPr>
          <w:rFonts w:hint="eastAsia"/>
        </w:rPr>
        <w:t>榜首。</w:t>
      </w:r>
    </w:p>
    <w:p w:rsidR="007D0552" w:rsidRDefault="00AF2484">
      <w:pPr>
        <w:spacing w:line="360" w:lineRule="exact"/>
        <w:ind w:firstLine="420"/>
        <w:jc w:val="right"/>
      </w:pPr>
      <w:r>
        <w:rPr>
          <w:rFonts w:hint="eastAsia"/>
        </w:rPr>
        <w:t>（来源：科技日报，</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p>
    <w:p w:rsidR="007D0552" w:rsidRDefault="00AF2484">
      <w:pPr>
        <w:pStyle w:val="a9"/>
      </w:pPr>
      <w:bookmarkStart w:id="9" w:name="_Toc448391514"/>
      <w:r>
        <w:rPr>
          <w:rFonts w:hint="eastAsia"/>
        </w:rPr>
        <w:t>中国</w:t>
      </w:r>
      <w:r>
        <w:t>的航天工程</w:t>
      </w:r>
      <w:bookmarkEnd w:id="9"/>
    </w:p>
    <w:p w:rsidR="007D0552" w:rsidRDefault="00AF2484">
      <w:r>
        <w:tab/>
      </w:r>
      <w:r>
        <w:rPr>
          <w:rFonts w:hint="eastAsia"/>
        </w:rPr>
        <w:t>载人航天工程是从我国开展空间科学研究的重大战略工程，</w:t>
      </w:r>
      <w:r>
        <w:rPr>
          <w:rFonts w:hint="eastAsia"/>
        </w:rPr>
        <w:t>2011</w:t>
      </w:r>
      <w:r>
        <w:rPr>
          <w:rFonts w:hint="eastAsia"/>
        </w:rPr>
        <w:t>年起，从天宫一号到神州八号、九号、十号，中国</w:t>
      </w:r>
      <w:r>
        <w:t>科学</w:t>
      </w:r>
      <w:r>
        <w:rPr>
          <w:rFonts w:hint="eastAsia"/>
        </w:rPr>
        <w:t>家</w:t>
      </w:r>
      <w:r>
        <w:t>和</w:t>
      </w:r>
      <w:r>
        <w:rPr>
          <w:rFonts w:hint="eastAsia"/>
        </w:rPr>
        <w:t>工程</w:t>
      </w:r>
      <w:r>
        <w:t>团队</w:t>
      </w:r>
      <w:r>
        <w:rPr>
          <w:rFonts w:hint="eastAsia"/>
        </w:rPr>
        <w:t>完成</w:t>
      </w:r>
      <w:r>
        <w:t>了一系列火箭和飞船的升空任务</w:t>
      </w:r>
      <w:r>
        <w:rPr>
          <w:rFonts w:hint="eastAsia"/>
        </w:rPr>
        <w:t>。在任务以外，从飞船载人舱、长</w:t>
      </w:r>
      <w:r>
        <w:rPr>
          <w:rFonts w:hint="eastAsia"/>
        </w:rPr>
        <w:t>2F</w:t>
      </w:r>
      <w:r>
        <w:rPr>
          <w:rFonts w:hint="eastAsia"/>
        </w:rPr>
        <w:t>火箭、逃逸塔，到交会对接雷达、高精度加速度计……多个项目</w:t>
      </w:r>
      <w:r>
        <w:t>取得了</w:t>
      </w:r>
      <w:r>
        <w:rPr>
          <w:rFonts w:hint="eastAsia"/>
        </w:rPr>
        <w:t>预期</w:t>
      </w:r>
      <w:r>
        <w:t>进展</w:t>
      </w:r>
      <w:r>
        <w:rPr>
          <w:rFonts w:hint="eastAsia"/>
        </w:rPr>
        <w:t>。与载人航天配套的探月工程，从嫦娥一号、二号、三号，到探月三期飞行试验器高</w:t>
      </w:r>
      <w:r>
        <w:t>分辨率卫星，包括</w:t>
      </w:r>
      <w:r>
        <w:rPr>
          <w:rFonts w:hint="eastAsia"/>
        </w:rPr>
        <w:t>高分一号、二号以及刚刚实施的高分四号发射等</w:t>
      </w:r>
      <w:r>
        <w:t>也都陆续</w:t>
      </w:r>
      <w:r>
        <w:rPr>
          <w:rFonts w:hint="eastAsia"/>
        </w:rPr>
        <w:t>完成</w:t>
      </w:r>
      <w:r>
        <w:t>任务，实现了预期目标。</w:t>
      </w:r>
      <w:r>
        <w:rPr>
          <w:rFonts w:hint="eastAsia"/>
        </w:rPr>
        <w:t>2016</w:t>
      </w:r>
      <w:r>
        <w:rPr>
          <w:rFonts w:hint="eastAsia"/>
        </w:rPr>
        <w:t>年我国航天事业将继续腾飞，全年将实施以新一代运载火箭长征五号、长征七号首飞，以及天宫二号实验室、神舟十一号载人飞船等为代表的</w:t>
      </w:r>
      <w:r>
        <w:rPr>
          <w:rFonts w:hint="eastAsia"/>
        </w:rPr>
        <w:t>20</w:t>
      </w:r>
      <w:r>
        <w:rPr>
          <w:rFonts w:hint="eastAsia"/>
        </w:rPr>
        <w:t>余次宇航发射任务。</w:t>
      </w:r>
    </w:p>
    <w:p w:rsidR="007D0552" w:rsidRDefault="00AF2484">
      <w:pPr>
        <w:jc w:val="right"/>
        <w:rPr>
          <w:rFonts w:ascii="宋体" w:eastAsia="宋体" w:hAnsi="宋体" w:cs="Times New Roman"/>
          <w:szCs w:val="21"/>
        </w:rPr>
      </w:pPr>
      <w:r>
        <w:rPr>
          <w:rFonts w:ascii="宋体" w:eastAsia="宋体" w:hAnsi="宋体" w:cs="Times New Roman" w:hint="eastAsia"/>
          <w:szCs w:val="21"/>
        </w:rPr>
        <w:t>（来源</w:t>
      </w:r>
      <w:r>
        <w:rPr>
          <w:rFonts w:ascii="宋体" w:eastAsia="宋体" w:hAnsi="宋体" w:cs="Times New Roman"/>
          <w:szCs w:val="21"/>
        </w:rPr>
        <w:t>：</w:t>
      </w:r>
      <w:r>
        <w:rPr>
          <w:rFonts w:ascii="宋体" w:eastAsia="宋体" w:hAnsi="宋体" w:cs="Times New Roman" w:hint="eastAsia"/>
          <w:szCs w:val="21"/>
        </w:rPr>
        <w:t>科技日报，</w:t>
      </w:r>
      <w:r>
        <w:rPr>
          <w:rFonts w:ascii="宋体" w:eastAsia="宋体" w:hAnsi="宋体" w:cs="Times New Roman" w:hint="eastAsia"/>
          <w:szCs w:val="21"/>
        </w:rPr>
        <w:t>201</w:t>
      </w:r>
      <w:r>
        <w:rPr>
          <w:rFonts w:ascii="宋体" w:eastAsia="宋体" w:hAnsi="宋体" w:cs="Times New Roman"/>
          <w:szCs w:val="21"/>
        </w:rPr>
        <w:t>6</w:t>
      </w:r>
      <w:r>
        <w:rPr>
          <w:rFonts w:ascii="宋体" w:eastAsia="宋体" w:hAnsi="宋体" w:cs="Times New Roman" w:hint="eastAsia"/>
          <w:szCs w:val="21"/>
        </w:rPr>
        <w:t>年</w:t>
      </w:r>
      <w:r>
        <w:rPr>
          <w:rFonts w:ascii="宋体" w:eastAsia="宋体" w:hAnsi="宋体" w:cs="Times New Roman" w:hint="eastAsia"/>
          <w:szCs w:val="21"/>
        </w:rPr>
        <w:t>01</w:t>
      </w:r>
      <w:r>
        <w:rPr>
          <w:rFonts w:ascii="宋体" w:eastAsia="宋体" w:hAnsi="宋体" w:cs="Times New Roman" w:hint="eastAsia"/>
          <w:szCs w:val="21"/>
        </w:rPr>
        <w:t>月</w:t>
      </w:r>
      <w:r>
        <w:rPr>
          <w:rFonts w:ascii="宋体" w:eastAsia="宋体" w:hAnsi="宋体" w:cs="Times New Roman" w:hint="eastAsia"/>
          <w:szCs w:val="21"/>
        </w:rPr>
        <w:t>01</w:t>
      </w:r>
      <w:r>
        <w:rPr>
          <w:rFonts w:ascii="宋体" w:eastAsia="宋体" w:hAnsi="宋体" w:cs="Times New Roman" w:hint="eastAsia"/>
          <w:szCs w:val="21"/>
        </w:rPr>
        <w:t>日）</w:t>
      </w:r>
    </w:p>
    <w:p w:rsidR="007D0552" w:rsidRDefault="007D0552">
      <w:pPr>
        <w:spacing w:line="360" w:lineRule="exact"/>
        <w:ind w:firstLine="420"/>
        <w:jc w:val="right"/>
      </w:pPr>
    </w:p>
    <w:p w:rsidR="007D0552" w:rsidRDefault="00AF2484">
      <w:pPr>
        <w:pStyle w:val="a9"/>
      </w:pPr>
      <w:bookmarkStart w:id="10" w:name="_Toc448391515"/>
      <w:r>
        <w:rPr>
          <w:rFonts w:hint="eastAsia"/>
        </w:rPr>
        <w:t>中国</w:t>
      </w:r>
      <w:r>
        <w:t>的</w:t>
      </w:r>
      <w:r>
        <w:rPr>
          <w:rFonts w:hint="eastAsia"/>
        </w:rPr>
        <w:t>高速</w:t>
      </w:r>
      <w:r>
        <w:t>铁路</w:t>
      </w:r>
      <w:bookmarkEnd w:id="10"/>
    </w:p>
    <w:p w:rsidR="007D0552" w:rsidRDefault="00AF2484">
      <w:r>
        <w:tab/>
      </w:r>
      <w:r>
        <w:rPr>
          <w:rFonts w:hint="eastAsia"/>
        </w:rPr>
        <w:t>从时速</w:t>
      </w:r>
      <w:r>
        <w:rPr>
          <w:rFonts w:hint="eastAsia"/>
        </w:rPr>
        <w:t>200</w:t>
      </w:r>
      <w:r>
        <w:rPr>
          <w:rFonts w:hint="eastAsia"/>
        </w:rPr>
        <w:t>公里起步，迅速追赶直至</w:t>
      </w:r>
      <w:r>
        <w:rPr>
          <w:rFonts w:hint="eastAsia"/>
        </w:rPr>
        <w:t>380</w:t>
      </w:r>
      <w:r>
        <w:rPr>
          <w:rFonts w:hint="eastAsia"/>
        </w:rPr>
        <w:t>公里，中国高铁用短短</w:t>
      </w:r>
      <w:r>
        <w:rPr>
          <w:rFonts w:hint="eastAsia"/>
        </w:rPr>
        <w:t>6</w:t>
      </w:r>
      <w:r>
        <w:rPr>
          <w:rFonts w:hint="eastAsia"/>
        </w:rPr>
        <w:t>年走完了世界</w:t>
      </w:r>
      <w:r>
        <w:rPr>
          <w:rFonts w:hint="eastAsia"/>
        </w:rPr>
        <w:t>40</w:t>
      </w:r>
      <w:r>
        <w:rPr>
          <w:rFonts w:hint="eastAsia"/>
        </w:rPr>
        <w:t>年的高铁历史。</w:t>
      </w:r>
      <w:r>
        <w:rPr>
          <w:rFonts w:hint="eastAsia"/>
        </w:rPr>
        <w:t>2011</w:t>
      </w:r>
      <w:r>
        <w:rPr>
          <w:rFonts w:hint="eastAsia"/>
        </w:rPr>
        <w:t>年</w:t>
      </w:r>
      <w:r>
        <w:rPr>
          <w:rFonts w:hint="eastAsia"/>
        </w:rPr>
        <w:t>6</w:t>
      </w:r>
      <w:r>
        <w:rPr>
          <w:rFonts w:hint="eastAsia"/>
        </w:rPr>
        <w:t>月</w:t>
      </w:r>
      <w:r>
        <w:rPr>
          <w:rFonts w:hint="eastAsia"/>
        </w:rPr>
        <w:t>30</w:t>
      </w:r>
      <w:r>
        <w:rPr>
          <w:rFonts w:hint="eastAsia"/>
        </w:rPr>
        <w:t>日，举世瞩目的京沪高铁建成并投入运营。京沪高铁全长</w:t>
      </w:r>
      <w:r>
        <w:rPr>
          <w:rFonts w:hint="eastAsia"/>
        </w:rPr>
        <w:t>1318</w:t>
      </w:r>
      <w:r>
        <w:rPr>
          <w:rFonts w:hint="eastAsia"/>
        </w:rPr>
        <w:t>公里，基础设施设计速度为每小时</w:t>
      </w:r>
      <w:r>
        <w:rPr>
          <w:rFonts w:hint="eastAsia"/>
        </w:rPr>
        <w:t>380</w:t>
      </w:r>
      <w:r>
        <w:rPr>
          <w:rFonts w:hint="eastAsia"/>
        </w:rPr>
        <w:t>公里，是世界上第一条一次建成里程最长、连续运营速度最高的高速铁路。其中，中国自主研发的新</w:t>
      </w:r>
      <w:r>
        <w:rPr>
          <w:rFonts w:hint="eastAsia"/>
        </w:rPr>
        <w:t>一代高速列车</w:t>
      </w:r>
      <w:r>
        <w:rPr>
          <w:rFonts w:hint="eastAsia"/>
        </w:rPr>
        <w:t>CRH380A</w:t>
      </w:r>
      <w:r>
        <w:rPr>
          <w:rFonts w:hint="eastAsia"/>
        </w:rPr>
        <w:t>也首次上线运行。京沪高速铁路工程荣获</w:t>
      </w:r>
      <w:r>
        <w:rPr>
          <w:rFonts w:hint="eastAsia"/>
        </w:rPr>
        <w:t>2015</w:t>
      </w:r>
      <w:r>
        <w:rPr>
          <w:rFonts w:hint="eastAsia"/>
        </w:rPr>
        <w:t>年度国家科技进步特等奖。目前，中国高铁里程已达</w:t>
      </w:r>
      <w:r>
        <w:rPr>
          <w:rFonts w:hint="eastAsia"/>
        </w:rPr>
        <w:t>1.9</w:t>
      </w:r>
      <w:r>
        <w:rPr>
          <w:rFonts w:hint="eastAsia"/>
        </w:rPr>
        <w:t>万公里，占世界运营总里程</w:t>
      </w:r>
      <w:r>
        <w:rPr>
          <w:rFonts w:hint="eastAsia"/>
        </w:rPr>
        <w:t>60%</w:t>
      </w:r>
      <w:r>
        <w:rPr>
          <w:rFonts w:hint="eastAsia"/>
        </w:rPr>
        <w:t>，而且有了中国标准，俨然</w:t>
      </w:r>
      <w:r>
        <w:t>成为中国制造的一张名片，开始走向世界。</w:t>
      </w:r>
    </w:p>
    <w:p w:rsidR="007D0552" w:rsidRDefault="00AF2484">
      <w:pPr>
        <w:spacing w:line="360" w:lineRule="exact"/>
        <w:ind w:firstLine="420"/>
        <w:jc w:val="right"/>
      </w:pPr>
      <w:r>
        <w:rPr>
          <w:rFonts w:hint="eastAsia"/>
        </w:rPr>
        <w:t>（来源：科技日报，</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p>
    <w:p w:rsidR="007D0552" w:rsidRDefault="00AF2484">
      <w:pPr>
        <w:pStyle w:val="a9"/>
      </w:pPr>
      <w:bookmarkStart w:id="11" w:name="_Toc448391516"/>
      <w:r>
        <w:rPr>
          <w:rFonts w:hint="eastAsia"/>
        </w:rPr>
        <w:t>秦山</w:t>
      </w:r>
      <w:r>
        <w:t>核电</w:t>
      </w:r>
      <w:r>
        <w:rPr>
          <w:rFonts w:hint="eastAsia"/>
        </w:rPr>
        <w:t>站</w:t>
      </w:r>
      <w:r>
        <w:rPr>
          <w:rFonts w:hint="eastAsia"/>
        </w:rPr>
        <w:t>：</w:t>
      </w:r>
      <w:r>
        <w:t>中国核电产业的缩影</w:t>
      </w:r>
      <w:bookmarkEnd w:id="11"/>
    </w:p>
    <w:p w:rsidR="007D0552" w:rsidRDefault="00AF2484">
      <w:pPr>
        <w:rPr>
          <w:shd w:val="clear" w:color="auto" w:fill="FFFFFF"/>
        </w:rPr>
      </w:pPr>
      <w:r>
        <w:rPr>
          <w:shd w:val="clear" w:color="auto" w:fill="FFFFFF"/>
        </w:rPr>
        <w:tab/>
      </w:r>
      <w:r>
        <w:rPr>
          <w:rFonts w:hint="eastAsia"/>
          <w:shd w:val="clear" w:color="auto" w:fill="FFFFFF"/>
        </w:rPr>
        <w:t>1983</w:t>
      </w:r>
      <w:r>
        <w:rPr>
          <w:rFonts w:hint="eastAsia"/>
          <w:shd w:val="clear" w:color="auto" w:fill="FFFFFF"/>
        </w:rPr>
        <w:t>年</w:t>
      </w:r>
      <w:r>
        <w:rPr>
          <w:rFonts w:hint="eastAsia"/>
          <w:shd w:val="clear" w:color="auto" w:fill="FFFFFF"/>
        </w:rPr>
        <w:t>6</w:t>
      </w:r>
      <w:r>
        <w:rPr>
          <w:rFonts w:hint="eastAsia"/>
          <w:shd w:val="clear" w:color="auto" w:fill="FFFFFF"/>
        </w:rPr>
        <w:t>月，轰鸣的机械声在浙江海盐杭州湾响起，秦山核电站从蓝图走向了现实。这是中国核工业</w:t>
      </w:r>
      <w:r>
        <w:rPr>
          <w:rFonts w:hint="eastAsia"/>
          <w:shd w:val="clear" w:color="auto" w:fill="FFFFFF"/>
        </w:rPr>
        <w:t>60</w:t>
      </w:r>
      <w:r>
        <w:rPr>
          <w:rFonts w:hint="eastAsia"/>
          <w:shd w:val="clear" w:color="auto" w:fill="FFFFFF"/>
        </w:rPr>
        <w:t>年发展历程中的重要转折，而</w:t>
      </w:r>
      <w:r>
        <w:rPr>
          <w:shd w:val="clear" w:color="auto" w:fill="FFFFFF"/>
        </w:rPr>
        <w:t>秦山核电站则是中国核电产业的缩影</w:t>
      </w:r>
      <w:r>
        <w:rPr>
          <w:rFonts w:hint="eastAsia"/>
          <w:shd w:val="clear" w:color="auto" w:fill="FFFFFF"/>
        </w:rPr>
        <w:t>。秦山核电站一期工程于</w:t>
      </w:r>
      <w:r>
        <w:rPr>
          <w:rFonts w:hint="eastAsia"/>
          <w:shd w:val="clear" w:color="auto" w:fill="FFFFFF"/>
        </w:rPr>
        <w:t>1991</w:t>
      </w:r>
      <w:r>
        <w:rPr>
          <w:rFonts w:hint="eastAsia"/>
          <w:shd w:val="clear" w:color="auto" w:fill="FFFFFF"/>
        </w:rPr>
        <w:t>年</w:t>
      </w:r>
      <w:r>
        <w:rPr>
          <w:rFonts w:hint="eastAsia"/>
          <w:shd w:val="clear" w:color="auto" w:fill="FFFFFF"/>
        </w:rPr>
        <w:t>12</w:t>
      </w:r>
      <w:r>
        <w:rPr>
          <w:rFonts w:hint="eastAsia"/>
          <w:shd w:val="clear" w:color="auto" w:fill="FFFFFF"/>
        </w:rPr>
        <w:t>月首次实现并网发电，这座</w:t>
      </w:r>
      <w:r>
        <w:rPr>
          <w:rFonts w:hint="eastAsia"/>
          <w:shd w:val="clear" w:color="auto" w:fill="FFFFFF"/>
        </w:rPr>
        <w:t>30</w:t>
      </w:r>
      <w:r>
        <w:rPr>
          <w:rFonts w:hint="eastAsia"/>
          <w:shd w:val="clear" w:color="auto" w:fill="FFFFFF"/>
        </w:rPr>
        <w:t>万千瓦压水堆核电站，成为当时中国大陆投产的唯一</w:t>
      </w:r>
      <w:proofErr w:type="gramStart"/>
      <w:r>
        <w:rPr>
          <w:rFonts w:hint="eastAsia"/>
          <w:shd w:val="clear" w:color="auto" w:fill="FFFFFF"/>
        </w:rPr>
        <w:t>一</w:t>
      </w:r>
      <w:proofErr w:type="gramEnd"/>
      <w:r>
        <w:rPr>
          <w:rFonts w:hint="eastAsia"/>
          <w:shd w:val="clear" w:color="auto" w:fill="FFFFFF"/>
        </w:rPr>
        <w:t>套核电机组。秦山核电站三期工程，是中国核工业首次向重水堆核电技术发起挑战。</w:t>
      </w:r>
      <w:r>
        <w:rPr>
          <w:rFonts w:hint="eastAsia"/>
          <w:shd w:val="clear" w:color="auto" w:fill="FFFFFF"/>
        </w:rPr>
        <w:t>2002</w:t>
      </w:r>
      <w:r>
        <w:rPr>
          <w:rFonts w:hint="eastAsia"/>
          <w:shd w:val="clear" w:color="auto" w:fill="FFFFFF"/>
        </w:rPr>
        <w:t>年</w:t>
      </w:r>
      <w:r>
        <w:rPr>
          <w:rFonts w:hint="eastAsia"/>
          <w:shd w:val="clear" w:color="auto" w:fill="FFFFFF"/>
        </w:rPr>
        <w:t>11</w:t>
      </w:r>
      <w:r>
        <w:rPr>
          <w:rFonts w:hint="eastAsia"/>
          <w:shd w:val="clear" w:color="auto" w:fill="FFFFFF"/>
        </w:rPr>
        <w:t>月</w:t>
      </w:r>
      <w:r>
        <w:rPr>
          <w:rFonts w:hint="eastAsia"/>
          <w:shd w:val="clear" w:color="auto" w:fill="FFFFFF"/>
        </w:rPr>
        <w:t>19</w:t>
      </w:r>
      <w:r>
        <w:rPr>
          <w:rFonts w:hint="eastAsia"/>
          <w:shd w:val="clear" w:color="auto" w:fill="FFFFFF"/>
        </w:rPr>
        <w:t>日上午，秦山三期重水堆核电站一号机组在浙江海盐首次成功并网发电。</w:t>
      </w:r>
      <w:r>
        <w:rPr>
          <w:rFonts w:hint="eastAsia"/>
          <w:shd w:val="clear" w:color="auto" w:fill="FFFFFF"/>
        </w:rPr>
        <w:t>2015</w:t>
      </w:r>
      <w:r>
        <w:rPr>
          <w:rFonts w:hint="eastAsia"/>
          <w:shd w:val="clear" w:color="auto" w:fill="FFFFFF"/>
        </w:rPr>
        <w:t>年</w:t>
      </w:r>
      <w:r>
        <w:rPr>
          <w:rFonts w:hint="eastAsia"/>
          <w:shd w:val="clear" w:color="auto" w:fill="FFFFFF"/>
        </w:rPr>
        <w:t>1</w:t>
      </w:r>
      <w:r>
        <w:rPr>
          <w:rFonts w:hint="eastAsia"/>
          <w:shd w:val="clear" w:color="auto" w:fill="FFFFFF"/>
        </w:rPr>
        <w:t>月</w:t>
      </w:r>
      <w:r>
        <w:rPr>
          <w:rFonts w:hint="eastAsia"/>
          <w:shd w:val="clear" w:color="auto" w:fill="FFFFFF"/>
        </w:rPr>
        <w:t>12</w:t>
      </w:r>
      <w:r>
        <w:rPr>
          <w:rFonts w:hint="eastAsia"/>
          <w:shd w:val="clear" w:color="auto" w:fill="FFFFFF"/>
        </w:rPr>
        <w:t>日，秦山核电站的扩建工程——采用二代改进型压水堆技术、包括两台百万千瓦机组的</w:t>
      </w:r>
      <w:proofErr w:type="gramStart"/>
      <w:r>
        <w:rPr>
          <w:rFonts w:hint="eastAsia"/>
          <w:shd w:val="clear" w:color="auto" w:fill="FFFFFF"/>
        </w:rPr>
        <w:t>方家山</w:t>
      </w:r>
      <w:proofErr w:type="gramEnd"/>
      <w:r>
        <w:rPr>
          <w:rFonts w:hint="eastAsia"/>
          <w:shd w:val="clear" w:color="auto" w:fill="FFFFFF"/>
        </w:rPr>
        <w:t>核电站</w:t>
      </w:r>
      <w:r>
        <w:rPr>
          <w:rFonts w:hint="eastAsia"/>
          <w:shd w:val="clear" w:color="auto" w:fill="FFFFFF"/>
        </w:rPr>
        <w:t>2</w:t>
      </w:r>
      <w:r>
        <w:rPr>
          <w:rFonts w:hint="eastAsia"/>
          <w:shd w:val="clear" w:color="auto" w:fill="FFFFFF"/>
        </w:rPr>
        <w:t>号机组成功并网发电。至此，秦山核电基地实现年发电量约</w:t>
      </w:r>
      <w:r>
        <w:rPr>
          <w:rFonts w:hint="eastAsia"/>
          <w:shd w:val="clear" w:color="auto" w:fill="FFFFFF"/>
        </w:rPr>
        <w:t>500</w:t>
      </w:r>
      <w:r>
        <w:rPr>
          <w:rFonts w:hint="eastAsia"/>
          <w:shd w:val="clear" w:color="auto" w:fill="FFFFFF"/>
        </w:rPr>
        <w:t>亿度，成为目前国内核电机组数量最多、堆型最丰富、装机最大的核电基地。</w:t>
      </w:r>
    </w:p>
    <w:p w:rsidR="007D0552" w:rsidRDefault="00AF2484">
      <w:pPr>
        <w:spacing w:line="360" w:lineRule="exact"/>
        <w:ind w:firstLine="420"/>
        <w:jc w:val="right"/>
      </w:pPr>
      <w:r>
        <w:rPr>
          <w:rFonts w:hint="eastAsia"/>
        </w:rPr>
        <w:t>（来源：科技日报，</w:t>
      </w:r>
      <w:r>
        <w:rPr>
          <w:rFonts w:hint="eastAsia"/>
        </w:rPr>
        <w:t>2016</w:t>
      </w:r>
      <w:r>
        <w:rPr>
          <w:rFonts w:hint="eastAsia"/>
        </w:rPr>
        <w:t>年</w:t>
      </w:r>
      <w:r>
        <w:rPr>
          <w:rFonts w:hint="eastAsia"/>
        </w:rPr>
        <w:t>01</w:t>
      </w:r>
      <w:r>
        <w:rPr>
          <w:rFonts w:hint="eastAsia"/>
        </w:rPr>
        <w:t>月</w:t>
      </w:r>
      <w:r>
        <w:rPr>
          <w:rFonts w:hint="eastAsia"/>
        </w:rPr>
        <w:t>01</w:t>
      </w:r>
      <w:r>
        <w:rPr>
          <w:rFonts w:hint="eastAsia"/>
        </w:rPr>
        <w:t>日）</w:t>
      </w:r>
    </w:p>
    <w:p w:rsidR="007D0552" w:rsidRDefault="00AF2484">
      <w:pPr>
        <w:pStyle w:val="a9"/>
      </w:pPr>
      <w:bookmarkStart w:id="12" w:name="_Toc448391517"/>
      <w:r>
        <w:t>“</w:t>
      </w:r>
      <w:r>
        <w:t>十二五</w:t>
      </w:r>
      <w:r>
        <w:t>”</w:t>
      </w:r>
      <w:r>
        <w:t>基础研究</w:t>
      </w:r>
      <w:bookmarkStart w:id="13" w:name="_GoBack"/>
      <w:bookmarkEnd w:id="13"/>
      <w:r>
        <w:t>成果</w:t>
      </w:r>
      <w:bookmarkEnd w:id="12"/>
    </w:p>
    <w:p w:rsidR="007D0552" w:rsidRDefault="00AF2484">
      <w:pPr>
        <w:ind w:firstLineChars="200" w:firstLine="420"/>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论文</w:t>
      </w:r>
    </w:p>
    <w:p w:rsidR="007D0552" w:rsidRDefault="00AF2484">
      <w:pPr>
        <w:rPr>
          <w:rFonts w:ascii="宋体" w:eastAsia="宋体" w:hAnsi="宋体" w:cs="Times New Roman"/>
          <w:szCs w:val="21"/>
        </w:rPr>
      </w:pPr>
      <w:r>
        <w:rPr>
          <w:rFonts w:ascii="宋体" w:eastAsia="宋体" w:hAnsi="宋体" w:cs="Times New Roman"/>
          <w:szCs w:val="21"/>
        </w:rPr>
        <w:tab/>
      </w:r>
      <w:r>
        <w:rPr>
          <w:rFonts w:ascii="宋体" w:eastAsia="宋体" w:hAnsi="宋体" w:cs="Times New Roman" w:hint="eastAsia"/>
          <w:szCs w:val="21"/>
        </w:rPr>
        <w:t>我国国际科技</w:t>
      </w:r>
      <w:r>
        <w:rPr>
          <w:rFonts w:ascii="宋体" w:eastAsia="宋体" w:hAnsi="宋体" w:cs="Times New Roman"/>
          <w:szCs w:val="21"/>
        </w:rPr>
        <w:t>论文数量连续多年稳居</w:t>
      </w:r>
      <w:r>
        <w:rPr>
          <w:rFonts w:ascii="宋体" w:eastAsia="宋体" w:hAnsi="宋体" w:cs="Times New Roman" w:hint="eastAsia"/>
          <w:szCs w:val="21"/>
        </w:rPr>
        <w:t>世界</w:t>
      </w:r>
      <w:r>
        <w:rPr>
          <w:rFonts w:ascii="宋体" w:eastAsia="宋体" w:hAnsi="宋体" w:cs="Times New Roman"/>
          <w:szCs w:val="21"/>
        </w:rPr>
        <w:t>第</w:t>
      </w:r>
      <w:r>
        <w:rPr>
          <w:rFonts w:ascii="宋体" w:eastAsia="宋体" w:hAnsi="宋体" w:cs="Times New Roman" w:hint="eastAsia"/>
          <w:szCs w:val="21"/>
        </w:rPr>
        <w:t>2</w:t>
      </w:r>
      <w:r>
        <w:rPr>
          <w:rFonts w:ascii="宋体" w:eastAsia="宋体" w:hAnsi="宋体" w:cs="Times New Roman" w:hint="eastAsia"/>
          <w:szCs w:val="21"/>
        </w:rPr>
        <w:t>位</w:t>
      </w:r>
      <w:r>
        <w:rPr>
          <w:rFonts w:ascii="宋体" w:eastAsia="宋体" w:hAnsi="宋体" w:cs="Times New Roman"/>
          <w:szCs w:val="21"/>
        </w:rPr>
        <w:t>，被引用次数和被</w:t>
      </w:r>
      <w:proofErr w:type="gramStart"/>
      <w:r>
        <w:rPr>
          <w:rFonts w:ascii="宋体" w:eastAsia="宋体" w:hAnsi="宋体" w:cs="Times New Roman" w:hint="eastAsia"/>
          <w:szCs w:val="21"/>
        </w:rPr>
        <w:t>引论文数</w:t>
      </w:r>
      <w:proofErr w:type="gramEnd"/>
      <w:r>
        <w:rPr>
          <w:rFonts w:ascii="宋体" w:eastAsia="宋体" w:hAnsi="宋体" w:cs="Times New Roman"/>
          <w:szCs w:val="21"/>
        </w:rPr>
        <w:t>均</w:t>
      </w:r>
      <w:r>
        <w:rPr>
          <w:rFonts w:ascii="宋体" w:eastAsia="宋体" w:hAnsi="宋体" w:cs="Times New Roman" w:hint="eastAsia"/>
          <w:szCs w:val="21"/>
        </w:rPr>
        <w:t>居世界</w:t>
      </w:r>
      <w:r>
        <w:rPr>
          <w:rFonts w:ascii="宋体" w:eastAsia="宋体" w:hAnsi="宋体" w:cs="Times New Roman"/>
          <w:szCs w:val="21"/>
        </w:rPr>
        <w:t>第</w:t>
      </w:r>
      <w:r>
        <w:rPr>
          <w:rFonts w:ascii="宋体" w:eastAsia="宋体" w:hAnsi="宋体" w:cs="Times New Roman" w:hint="eastAsia"/>
          <w:szCs w:val="21"/>
        </w:rPr>
        <w:t>4</w:t>
      </w:r>
      <w:r>
        <w:rPr>
          <w:rFonts w:ascii="宋体" w:eastAsia="宋体" w:hAnsi="宋体" w:cs="Times New Roman" w:hint="eastAsia"/>
          <w:szCs w:val="21"/>
        </w:rPr>
        <w:t>位</w:t>
      </w:r>
      <w:r>
        <w:rPr>
          <w:rFonts w:ascii="宋体" w:eastAsia="宋体" w:hAnsi="宋体" w:cs="Times New Roman"/>
          <w:szCs w:val="21"/>
        </w:rPr>
        <w:t>，其中</w:t>
      </w:r>
      <w:r>
        <w:rPr>
          <w:rFonts w:ascii="宋体" w:eastAsia="宋体" w:hAnsi="宋体" w:cs="Times New Roman" w:hint="eastAsia"/>
          <w:szCs w:val="21"/>
        </w:rPr>
        <w:t>化学</w:t>
      </w:r>
      <w:r>
        <w:rPr>
          <w:rFonts w:ascii="宋体" w:eastAsia="宋体" w:hAnsi="宋体" w:cs="Times New Roman"/>
          <w:szCs w:val="21"/>
        </w:rPr>
        <w:t>、材料、农业等</w:t>
      </w:r>
      <w:r>
        <w:rPr>
          <w:rFonts w:ascii="宋体" w:eastAsia="宋体" w:hAnsi="宋体" w:cs="Times New Roman" w:hint="eastAsia"/>
          <w:szCs w:val="21"/>
        </w:rPr>
        <w:t>7</w:t>
      </w:r>
      <w:r>
        <w:rPr>
          <w:rFonts w:ascii="宋体" w:eastAsia="宋体" w:hAnsi="宋体" w:cs="Times New Roman" w:hint="eastAsia"/>
          <w:szCs w:val="21"/>
        </w:rPr>
        <w:t>个</w:t>
      </w:r>
      <w:r>
        <w:rPr>
          <w:rFonts w:ascii="宋体" w:eastAsia="宋体" w:hAnsi="宋体" w:cs="Times New Roman"/>
          <w:szCs w:val="21"/>
        </w:rPr>
        <w:t>学科已</w:t>
      </w:r>
      <w:r>
        <w:rPr>
          <w:rFonts w:ascii="宋体" w:eastAsia="宋体" w:hAnsi="宋体" w:cs="Times New Roman" w:hint="eastAsia"/>
          <w:szCs w:val="21"/>
        </w:rPr>
        <w:t>升至</w:t>
      </w:r>
      <w:r>
        <w:rPr>
          <w:rFonts w:ascii="宋体" w:eastAsia="宋体" w:hAnsi="宋体" w:cs="Times New Roman"/>
          <w:szCs w:val="21"/>
        </w:rPr>
        <w:t>第</w:t>
      </w:r>
      <w:r>
        <w:rPr>
          <w:rFonts w:ascii="宋体" w:eastAsia="宋体" w:hAnsi="宋体" w:cs="Times New Roman" w:hint="eastAsia"/>
          <w:szCs w:val="21"/>
        </w:rPr>
        <w:t>2</w:t>
      </w:r>
      <w:r>
        <w:rPr>
          <w:rFonts w:ascii="宋体" w:eastAsia="宋体" w:hAnsi="宋体" w:cs="Times New Roman" w:hint="eastAsia"/>
          <w:szCs w:val="21"/>
        </w:rPr>
        <w:t>位</w:t>
      </w:r>
      <w:r>
        <w:rPr>
          <w:rFonts w:ascii="宋体" w:eastAsia="宋体" w:hAnsi="宋体" w:cs="Times New Roman"/>
          <w:szCs w:val="21"/>
        </w:rPr>
        <w:t>。</w:t>
      </w:r>
      <w:r>
        <w:rPr>
          <w:rFonts w:ascii="宋体" w:eastAsia="宋体" w:hAnsi="宋体" w:cs="Times New Roman" w:hint="eastAsia"/>
          <w:szCs w:val="21"/>
        </w:rPr>
        <w:t>2</w:t>
      </w:r>
      <w:r>
        <w:rPr>
          <w:rFonts w:ascii="宋体" w:eastAsia="宋体" w:hAnsi="宋体" w:cs="Times New Roman"/>
          <w:szCs w:val="21"/>
        </w:rPr>
        <w:t>014</w:t>
      </w:r>
      <w:r>
        <w:rPr>
          <w:rFonts w:ascii="宋体" w:eastAsia="宋体" w:hAnsi="宋体" w:cs="Times New Roman" w:hint="eastAsia"/>
          <w:szCs w:val="21"/>
        </w:rPr>
        <w:t>年</w:t>
      </w:r>
      <w:r>
        <w:rPr>
          <w:rFonts w:ascii="宋体" w:eastAsia="宋体" w:hAnsi="宋体" w:cs="Times New Roman"/>
          <w:szCs w:val="21"/>
        </w:rPr>
        <w:t>，我国国际科技论文总量为</w:t>
      </w:r>
      <w:r w:rsidRPr="00AF2484">
        <w:rPr>
          <w:rFonts w:ascii="宋体" w:eastAsia="宋体" w:hAnsi="宋体" w:cs="Times New Roman" w:hint="eastAsia"/>
          <w:szCs w:val="21"/>
        </w:rPr>
        <w:t>26.35万</w:t>
      </w:r>
      <w:r w:rsidRPr="00AF2484">
        <w:rPr>
          <w:rFonts w:ascii="宋体" w:eastAsia="宋体" w:hAnsi="宋体" w:cs="Times New Roman" w:hint="eastAsia"/>
          <w:szCs w:val="21"/>
        </w:rPr>
        <w:t>篇</w:t>
      </w:r>
      <w:r>
        <w:rPr>
          <w:rFonts w:ascii="宋体" w:eastAsia="宋体" w:hAnsi="宋体" w:cs="Times New Roman"/>
          <w:szCs w:val="21"/>
        </w:rPr>
        <w:t>，约为</w:t>
      </w:r>
      <w:r>
        <w:rPr>
          <w:rFonts w:ascii="宋体" w:eastAsia="宋体" w:hAnsi="宋体" w:cs="Times New Roman" w:hint="eastAsia"/>
          <w:szCs w:val="21"/>
        </w:rPr>
        <w:t>2006</w:t>
      </w:r>
      <w:r>
        <w:rPr>
          <w:rFonts w:ascii="宋体" w:eastAsia="宋体" w:hAnsi="宋体" w:cs="Times New Roman" w:hint="eastAsia"/>
          <w:szCs w:val="21"/>
        </w:rPr>
        <w:t>年</w:t>
      </w:r>
      <w:r>
        <w:rPr>
          <w:rFonts w:ascii="宋体" w:eastAsia="宋体" w:hAnsi="宋体" w:cs="Times New Roman"/>
          <w:szCs w:val="21"/>
        </w:rPr>
        <w:t>的</w:t>
      </w:r>
      <w:r>
        <w:rPr>
          <w:rFonts w:ascii="宋体" w:eastAsia="宋体" w:hAnsi="宋体" w:cs="Times New Roman" w:hint="eastAsia"/>
          <w:szCs w:val="21"/>
        </w:rPr>
        <w:t>3</w:t>
      </w:r>
      <w:r>
        <w:rPr>
          <w:rFonts w:ascii="宋体" w:eastAsia="宋体" w:hAnsi="宋体" w:cs="Times New Roman" w:hint="eastAsia"/>
          <w:szCs w:val="21"/>
        </w:rPr>
        <w:t>倍</w:t>
      </w:r>
      <w:r>
        <w:rPr>
          <w:rFonts w:ascii="宋体" w:eastAsia="宋体" w:hAnsi="宋体" w:cs="Times New Roman"/>
          <w:szCs w:val="21"/>
        </w:rPr>
        <w:t>，</w:t>
      </w:r>
      <w:hyperlink r:id="rId8" w:history="1">
        <w:r>
          <w:rPr>
            <w:rStyle w:val="ab"/>
            <w:rFonts w:ascii="宋体" w:eastAsia="宋体" w:hAnsi="宋体" w:cs="Times New Roman" w:hint="eastAsia"/>
            <w:color w:val="auto"/>
            <w:szCs w:val="21"/>
            <w:u w:val="none"/>
          </w:rPr>
          <w:t>占</w:t>
        </w:r>
        <w:r>
          <w:rPr>
            <w:rStyle w:val="ab"/>
            <w:rFonts w:ascii="宋体" w:eastAsia="宋体" w:hAnsi="宋体" w:cs="Times New Roman"/>
            <w:color w:val="auto"/>
            <w:szCs w:val="21"/>
            <w:u w:val="none"/>
          </w:rPr>
          <w:t>全球的份额从</w:t>
        </w:r>
        <w:r>
          <w:rPr>
            <w:rStyle w:val="ab"/>
            <w:rFonts w:ascii="宋体" w:eastAsia="宋体" w:hAnsi="宋体" w:cs="Times New Roman" w:hint="eastAsia"/>
            <w:color w:val="auto"/>
            <w:szCs w:val="21"/>
            <w:u w:val="none"/>
          </w:rPr>
          <w:t>2003</w:t>
        </w:r>
        <w:r>
          <w:rPr>
            <w:rStyle w:val="ab"/>
            <w:rFonts w:ascii="宋体" w:eastAsia="宋体" w:hAnsi="宋体" w:cs="Times New Roman" w:hint="eastAsia"/>
            <w:color w:val="auto"/>
            <w:szCs w:val="21"/>
            <w:u w:val="none"/>
          </w:rPr>
          <w:t>年</w:t>
        </w:r>
        <w:r>
          <w:rPr>
            <w:rStyle w:val="ab"/>
            <w:rFonts w:ascii="宋体" w:eastAsia="宋体" w:hAnsi="宋体" w:cs="Times New Roman"/>
            <w:color w:val="auto"/>
            <w:szCs w:val="21"/>
            <w:u w:val="none"/>
          </w:rPr>
          <w:t>的</w:t>
        </w:r>
        <w:r>
          <w:rPr>
            <w:rStyle w:val="ab"/>
            <w:rFonts w:ascii="宋体" w:eastAsia="宋体" w:hAnsi="宋体" w:cs="Times New Roman" w:hint="eastAsia"/>
            <w:color w:val="auto"/>
            <w:szCs w:val="21"/>
            <w:u w:val="none"/>
          </w:rPr>
          <w:t>5.62</w:t>
        </w:r>
        <w:r>
          <w:rPr>
            <w:rStyle w:val="ab"/>
            <w:rFonts w:ascii="宋体" w:eastAsia="宋体" w:hAnsi="宋体" w:cs="Times New Roman"/>
            <w:color w:val="auto"/>
            <w:szCs w:val="21"/>
            <w:u w:val="none"/>
          </w:rPr>
          <w:t>%</w:t>
        </w:r>
        <w:r>
          <w:rPr>
            <w:rStyle w:val="ab"/>
            <w:rFonts w:ascii="宋体" w:eastAsia="宋体" w:hAnsi="宋体" w:cs="Times New Roman"/>
            <w:color w:val="auto"/>
            <w:szCs w:val="21"/>
            <w:u w:val="none"/>
          </w:rPr>
          <w:t>增长至</w:t>
        </w:r>
        <w:r>
          <w:rPr>
            <w:rStyle w:val="ab"/>
            <w:rFonts w:ascii="宋体" w:eastAsia="宋体" w:hAnsi="宋体" w:cs="Times New Roman" w:hint="eastAsia"/>
            <w:color w:val="auto"/>
            <w:szCs w:val="21"/>
            <w:u w:val="none"/>
          </w:rPr>
          <w:t>2014</w:t>
        </w:r>
        <w:r>
          <w:rPr>
            <w:rStyle w:val="ab"/>
            <w:rFonts w:ascii="宋体" w:eastAsia="宋体" w:hAnsi="宋体" w:cs="Times New Roman" w:hint="eastAsia"/>
            <w:color w:val="auto"/>
            <w:szCs w:val="21"/>
            <w:u w:val="none"/>
          </w:rPr>
          <w:t>年</w:t>
        </w:r>
        <w:r>
          <w:rPr>
            <w:rStyle w:val="ab"/>
            <w:rFonts w:ascii="宋体" w:eastAsia="宋体" w:hAnsi="宋体" w:cs="Times New Roman"/>
            <w:color w:val="auto"/>
            <w:szCs w:val="21"/>
            <w:u w:val="none"/>
          </w:rPr>
          <w:t>的</w:t>
        </w:r>
      </w:hyperlink>
      <w:r>
        <w:rPr>
          <w:rFonts w:ascii="宋体" w:eastAsia="宋体" w:hAnsi="宋体" w:cs="Times New Roman"/>
          <w:szCs w:val="21"/>
        </w:rPr>
        <w:t>14.9%</w:t>
      </w:r>
      <w:r>
        <w:rPr>
          <w:rFonts w:ascii="宋体" w:eastAsia="宋体" w:hAnsi="宋体" w:cs="Times New Roman"/>
          <w:szCs w:val="21"/>
        </w:rPr>
        <w:t>。</w:t>
      </w:r>
    </w:p>
    <w:p w:rsidR="007D0552" w:rsidRDefault="00AF2484">
      <w:pPr>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研究人员</w:t>
      </w:r>
    </w:p>
    <w:p w:rsidR="007D0552" w:rsidRDefault="00AF2484">
      <w:pPr>
        <w:rPr>
          <w:rFonts w:ascii="宋体" w:eastAsia="宋体" w:hAnsi="宋体" w:cs="Times New Roman"/>
          <w:szCs w:val="21"/>
        </w:rPr>
      </w:pPr>
      <w:r>
        <w:rPr>
          <w:rFonts w:ascii="宋体" w:eastAsia="宋体" w:hAnsi="宋体" w:cs="Times New Roman"/>
          <w:szCs w:val="21"/>
        </w:rPr>
        <w:tab/>
      </w:r>
      <w:r>
        <w:rPr>
          <w:rFonts w:ascii="宋体" w:eastAsia="宋体" w:hAnsi="宋体" w:cs="Times New Roman" w:hint="eastAsia"/>
          <w:szCs w:val="21"/>
        </w:rPr>
        <w:t>从事基础</w:t>
      </w:r>
      <w:r>
        <w:rPr>
          <w:rFonts w:ascii="宋体" w:eastAsia="宋体" w:hAnsi="宋体" w:cs="Times New Roman"/>
          <w:szCs w:val="21"/>
        </w:rPr>
        <w:t>研究的全</w:t>
      </w:r>
      <w:r>
        <w:rPr>
          <w:rFonts w:ascii="宋体" w:eastAsia="宋体" w:hAnsi="宋体" w:cs="Times New Roman" w:hint="eastAsia"/>
          <w:szCs w:val="21"/>
        </w:rPr>
        <w:t>时人员</w:t>
      </w:r>
      <w:r>
        <w:rPr>
          <w:rFonts w:ascii="宋体" w:eastAsia="宋体" w:hAnsi="宋体" w:cs="Times New Roman"/>
          <w:szCs w:val="21"/>
        </w:rPr>
        <w:t>总量由</w:t>
      </w:r>
      <w:r>
        <w:rPr>
          <w:rFonts w:ascii="宋体" w:eastAsia="宋体" w:hAnsi="宋体" w:cs="Times New Roman" w:hint="eastAsia"/>
          <w:szCs w:val="21"/>
        </w:rPr>
        <w:t>2006</w:t>
      </w:r>
      <w:r>
        <w:rPr>
          <w:rFonts w:ascii="宋体" w:eastAsia="宋体" w:hAnsi="宋体" w:cs="Times New Roman" w:hint="eastAsia"/>
          <w:szCs w:val="21"/>
        </w:rPr>
        <w:t>年</w:t>
      </w:r>
      <w:r>
        <w:rPr>
          <w:rFonts w:ascii="宋体" w:eastAsia="宋体" w:hAnsi="宋体" w:cs="Times New Roman"/>
          <w:szCs w:val="21"/>
        </w:rPr>
        <w:t>的</w:t>
      </w:r>
      <w:r>
        <w:rPr>
          <w:rFonts w:ascii="宋体" w:eastAsia="宋体" w:hAnsi="宋体" w:cs="Times New Roman" w:hint="eastAsia"/>
          <w:szCs w:val="21"/>
        </w:rPr>
        <w:t>13.13</w:t>
      </w:r>
      <w:r>
        <w:rPr>
          <w:rFonts w:ascii="宋体" w:eastAsia="宋体" w:hAnsi="宋体" w:cs="Times New Roman" w:hint="eastAsia"/>
          <w:szCs w:val="21"/>
        </w:rPr>
        <w:t>万</w:t>
      </w:r>
      <w:r>
        <w:rPr>
          <w:rFonts w:ascii="宋体" w:eastAsia="宋体" w:hAnsi="宋体" w:cs="Times New Roman"/>
          <w:szCs w:val="21"/>
        </w:rPr>
        <w:t>人年增长到</w:t>
      </w:r>
      <w:r>
        <w:rPr>
          <w:rFonts w:ascii="宋体" w:eastAsia="宋体" w:hAnsi="宋体" w:cs="Times New Roman" w:hint="eastAsia"/>
          <w:szCs w:val="21"/>
        </w:rPr>
        <w:t>2013</w:t>
      </w:r>
      <w:r>
        <w:rPr>
          <w:rFonts w:ascii="宋体" w:eastAsia="宋体" w:hAnsi="宋体" w:cs="Times New Roman" w:hint="eastAsia"/>
          <w:szCs w:val="21"/>
        </w:rPr>
        <w:t>年</w:t>
      </w:r>
      <w:r>
        <w:rPr>
          <w:rFonts w:ascii="宋体" w:eastAsia="宋体" w:hAnsi="宋体" w:cs="Times New Roman"/>
          <w:szCs w:val="21"/>
        </w:rPr>
        <w:t>的</w:t>
      </w:r>
      <w:r>
        <w:rPr>
          <w:rFonts w:ascii="宋体" w:eastAsia="宋体" w:hAnsi="宋体" w:cs="Times New Roman" w:hint="eastAsia"/>
          <w:szCs w:val="21"/>
        </w:rPr>
        <w:t>22.32</w:t>
      </w:r>
      <w:r>
        <w:rPr>
          <w:rFonts w:ascii="宋体" w:eastAsia="宋体" w:hAnsi="宋体" w:cs="Times New Roman" w:hint="eastAsia"/>
          <w:szCs w:val="21"/>
        </w:rPr>
        <w:t>万</w:t>
      </w:r>
      <w:r>
        <w:rPr>
          <w:rFonts w:ascii="宋体" w:eastAsia="宋体" w:hAnsi="宋体" w:cs="Times New Roman"/>
          <w:szCs w:val="21"/>
        </w:rPr>
        <w:t>人年，中青年科学家已经成为基础研究的</w:t>
      </w:r>
      <w:r>
        <w:rPr>
          <w:rFonts w:ascii="宋体" w:eastAsia="宋体" w:hAnsi="宋体" w:cs="Times New Roman" w:hint="eastAsia"/>
          <w:szCs w:val="21"/>
        </w:rPr>
        <w:t>主力</w:t>
      </w:r>
      <w:r>
        <w:rPr>
          <w:rFonts w:ascii="宋体" w:eastAsia="宋体" w:hAnsi="宋体" w:cs="Times New Roman"/>
          <w:szCs w:val="21"/>
        </w:rPr>
        <w:t>。</w:t>
      </w:r>
    </w:p>
    <w:p w:rsidR="007D0552" w:rsidRDefault="00AF2484">
      <w:pPr>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cs="Times New Roman" w:hint="eastAsia"/>
          <w:szCs w:val="21"/>
        </w:rPr>
        <w:t>研究基地</w:t>
      </w:r>
    </w:p>
    <w:p w:rsidR="007D0552" w:rsidRDefault="00AF2484">
      <w:pPr>
        <w:rPr>
          <w:rFonts w:ascii="宋体" w:eastAsia="宋体" w:hAnsi="宋体" w:cs="Times New Roman"/>
          <w:szCs w:val="21"/>
        </w:rPr>
      </w:pPr>
      <w:r>
        <w:rPr>
          <w:rFonts w:ascii="宋体" w:eastAsia="宋体" w:hAnsi="宋体" w:cs="Times New Roman"/>
          <w:szCs w:val="21"/>
        </w:rPr>
        <w:tab/>
      </w:r>
      <w:r>
        <w:rPr>
          <w:rFonts w:ascii="宋体" w:eastAsia="宋体" w:hAnsi="宋体" w:cs="Times New Roman" w:hint="eastAsia"/>
          <w:szCs w:val="21"/>
        </w:rPr>
        <w:t>截至</w:t>
      </w:r>
      <w:r>
        <w:rPr>
          <w:rFonts w:ascii="宋体" w:eastAsia="宋体" w:hAnsi="宋体" w:cs="Times New Roman" w:hint="eastAsia"/>
          <w:szCs w:val="21"/>
        </w:rPr>
        <w:t>2015</w:t>
      </w:r>
      <w:r>
        <w:rPr>
          <w:rFonts w:ascii="宋体" w:eastAsia="宋体" w:hAnsi="宋体" w:cs="Times New Roman" w:hint="eastAsia"/>
          <w:szCs w:val="21"/>
        </w:rPr>
        <w:t>年</w:t>
      </w:r>
      <w:r>
        <w:rPr>
          <w:rFonts w:ascii="宋体" w:eastAsia="宋体" w:hAnsi="宋体" w:cs="Times New Roman"/>
          <w:szCs w:val="21"/>
        </w:rPr>
        <w:t>底，建设国家重点实验室</w:t>
      </w:r>
      <w:r>
        <w:rPr>
          <w:rFonts w:ascii="宋体" w:eastAsia="宋体" w:hAnsi="宋体" w:cs="Times New Roman" w:hint="eastAsia"/>
          <w:szCs w:val="21"/>
        </w:rPr>
        <w:t>481</w:t>
      </w:r>
      <w:r>
        <w:rPr>
          <w:rFonts w:ascii="宋体" w:eastAsia="宋体" w:hAnsi="宋体" w:cs="Times New Roman" w:hint="eastAsia"/>
          <w:szCs w:val="21"/>
        </w:rPr>
        <w:t>个</w:t>
      </w:r>
      <w:r>
        <w:rPr>
          <w:rFonts w:ascii="宋体" w:eastAsia="宋体" w:hAnsi="宋体" w:cs="Times New Roman"/>
          <w:szCs w:val="21"/>
        </w:rPr>
        <w:t>，试点国家实验室</w:t>
      </w:r>
      <w:r>
        <w:rPr>
          <w:rFonts w:ascii="宋体" w:eastAsia="宋体" w:hAnsi="宋体" w:cs="Times New Roman" w:hint="eastAsia"/>
          <w:szCs w:val="21"/>
        </w:rPr>
        <w:t>7</w:t>
      </w:r>
      <w:r>
        <w:rPr>
          <w:rFonts w:ascii="宋体" w:eastAsia="宋体" w:hAnsi="宋体" w:cs="Times New Roman" w:hint="eastAsia"/>
          <w:szCs w:val="21"/>
        </w:rPr>
        <w:t>个</w:t>
      </w:r>
      <w:r>
        <w:rPr>
          <w:rFonts w:ascii="宋体" w:eastAsia="宋体" w:hAnsi="宋体" w:cs="Times New Roman"/>
          <w:szCs w:val="21"/>
        </w:rPr>
        <w:t>，国家重大科技基础设施</w:t>
      </w:r>
      <w:r>
        <w:rPr>
          <w:rFonts w:ascii="宋体" w:eastAsia="宋体" w:hAnsi="宋体" w:cs="Times New Roman" w:hint="eastAsia"/>
          <w:szCs w:val="21"/>
        </w:rPr>
        <w:t>32</w:t>
      </w:r>
      <w:r>
        <w:rPr>
          <w:rFonts w:ascii="宋体" w:eastAsia="宋体" w:hAnsi="宋体" w:cs="Times New Roman" w:hint="eastAsia"/>
          <w:szCs w:val="21"/>
        </w:rPr>
        <w:t>项目</w:t>
      </w:r>
      <w:r>
        <w:rPr>
          <w:rFonts w:ascii="宋体" w:eastAsia="宋体" w:hAnsi="宋体" w:cs="Times New Roman"/>
          <w:szCs w:val="21"/>
        </w:rPr>
        <w:t>，重点实验室专项经费和国家实验室引导经费累计投入</w:t>
      </w:r>
      <w:r>
        <w:rPr>
          <w:rFonts w:ascii="宋体" w:eastAsia="宋体" w:hAnsi="宋体" w:cs="Times New Roman" w:hint="eastAsia"/>
          <w:szCs w:val="21"/>
        </w:rPr>
        <w:t>160</w:t>
      </w:r>
      <w:r>
        <w:rPr>
          <w:rFonts w:ascii="宋体" w:eastAsia="宋体" w:hAnsi="宋体" w:cs="Times New Roman" w:hint="eastAsia"/>
          <w:szCs w:val="21"/>
        </w:rPr>
        <w:t>亿</w:t>
      </w:r>
      <w:r>
        <w:rPr>
          <w:rFonts w:ascii="宋体" w:eastAsia="宋体" w:hAnsi="宋体" w:cs="Times New Roman"/>
          <w:szCs w:val="21"/>
        </w:rPr>
        <w:t>元。</w:t>
      </w:r>
    </w:p>
    <w:p w:rsidR="007D0552" w:rsidRDefault="00AF2484">
      <w:pPr>
        <w:jc w:val="right"/>
        <w:rPr>
          <w:shd w:val="clear" w:color="auto" w:fill="FFFFFF"/>
        </w:rPr>
      </w:pPr>
      <w:r>
        <w:rPr>
          <w:rFonts w:ascii="宋体" w:eastAsia="宋体" w:hAnsi="宋体" w:cs="Times New Roman" w:hint="eastAsia"/>
          <w:szCs w:val="21"/>
        </w:rPr>
        <w:t>（来源</w:t>
      </w:r>
      <w:r>
        <w:rPr>
          <w:rFonts w:ascii="宋体" w:eastAsia="宋体" w:hAnsi="宋体" w:cs="Times New Roman"/>
          <w:szCs w:val="21"/>
        </w:rPr>
        <w:t>：</w:t>
      </w:r>
      <w:r>
        <w:rPr>
          <w:rFonts w:ascii="宋体" w:eastAsia="宋体" w:hAnsi="宋体" w:cs="Times New Roman" w:hint="eastAsia"/>
          <w:szCs w:val="21"/>
        </w:rPr>
        <w:t>科技日报，</w:t>
      </w:r>
      <w:r>
        <w:rPr>
          <w:rFonts w:ascii="宋体" w:eastAsia="宋体" w:hAnsi="宋体" w:cs="Times New Roman" w:hint="eastAsia"/>
          <w:szCs w:val="21"/>
        </w:rPr>
        <w:t>201</w:t>
      </w:r>
      <w:r>
        <w:rPr>
          <w:rFonts w:ascii="宋体" w:eastAsia="宋体" w:hAnsi="宋体" w:cs="Times New Roman"/>
          <w:szCs w:val="21"/>
        </w:rPr>
        <w:t>6</w:t>
      </w:r>
      <w:r>
        <w:rPr>
          <w:rFonts w:ascii="宋体" w:eastAsia="宋体" w:hAnsi="宋体" w:cs="Times New Roman" w:hint="eastAsia"/>
          <w:szCs w:val="21"/>
        </w:rPr>
        <w:t>年</w:t>
      </w:r>
      <w:r>
        <w:rPr>
          <w:rFonts w:ascii="宋体" w:eastAsia="宋体" w:hAnsi="宋体" w:cs="Times New Roman" w:hint="eastAsia"/>
          <w:szCs w:val="21"/>
        </w:rPr>
        <w:t>01</w:t>
      </w:r>
      <w:r>
        <w:rPr>
          <w:rFonts w:ascii="宋体" w:eastAsia="宋体" w:hAnsi="宋体" w:cs="Times New Roman" w:hint="eastAsia"/>
          <w:szCs w:val="21"/>
        </w:rPr>
        <w:t>月</w:t>
      </w:r>
      <w:r>
        <w:rPr>
          <w:rFonts w:ascii="宋体" w:eastAsia="宋体" w:hAnsi="宋体" w:cs="Times New Roman" w:hint="eastAsia"/>
          <w:szCs w:val="21"/>
        </w:rPr>
        <w:t>01</w:t>
      </w:r>
      <w:r>
        <w:rPr>
          <w:rFonts w:ascii="宋体" w:eastAsia="宋体" w:hAnsi="宋体" w:cs="Times New Roman" w:hint="eastAsia"/>
          <w:szCs w:val="21"/>
        </w:rPr>
        <w:t>日）</w:t>
      </w:r>
    </w:p>
    <w:p w:rsidR="007D0552" w:rsidRDefault="007D0552">
      <w:pPr>
        <w:jc w:val="right"/>
        <w:rPr>
          <w:shd w:val="clear" w:color="auto" w:fill="FFFFFF"/>
        </w:rPr>
      </w:pPr>
    </w:p>
    <w:sectPr w:rsidR="007D0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1"/>
    <w:family w:val="roman"/>
    <w:pitch w:val="default"/>
    <w:sig w:usb0="00000000" w:usb1="00000000" w:usb2="00000000"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B9"/>
    <w:rsid w:val="00010E78"/>
    <w:rsid w:val="000113C5"/>
    <w:rsid w:val="00030010"/>
    <w:rsid w:val="00041A3D"/>
    <w:rsid w:val="0005603D"/>
    <w:rsid w:val="00076551"/>
    <w:rsid w:val="000803A0"/>
    <w:rsid w:val="00082678"/>
    <w:rsid w:val="00083BA0"/>
    <w:rsid w:val="00083E4E"/>
    <w:rsid w:val="00087C49"/>
    <w:rsid w:val="000A6EB5"/>
    <w:rsid w:val="000B31CD"/>
    <w:rsid w:val="000C27F5"/>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201597"/>
    <w:rsid w:val="0020545F"/>
    <w:rsid w:val="0022334D"/>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371BD"/>
    <w:rsid w:val="00337ABE"/>
    <w:rsid w:val="00341643"/>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6067"/>
    <w:rsid w:val="004571D4"/>
    <w:rsid w:val="004716D5"/>
    <w:rsid w:val="0047779E"/>
    <w:rsid w:val="00492E97"/>
    <w:rsid w:val="00495055"/>
    <w:rsid w:val="004A1722"/>
    <w:rsid w:val="004B372C"/>
    <w:rsid w:val="004B4A4B"/>
    <w:rsid w:val="004C2398"/>
    <w:rsid w:val="004C3C66"/>
    <w:rsid w:val="004D1AD2"/>
    <w:rsid w:val="004E22AF"/>
    <w:rsid w:val="004E799B"/>
    <w:rsid w:val="004F1BF7"/>
    <w:rsid w:val="004F21FA"/>
    <w:rsid w:val="00510B88"/>
    <w:rsid w:val="005202A0"/>
    <w:rsid w:val="00524E31"/>
    <w:rsid w:val="00527541"/>
    <w:rsid w:val="005322A0"/>
    <w:rsid w:val="00533C47"/>
    <w:rsid w:val="00534667"/>
    <w:rsid w:val="0054128A"/>
    <w:rsid w:val="00544173"/>
    <w:rsid w:val="005629FA"/>
    <w:rsid w:val="00571408"/>
    <w:rsid w:val="00572753"/>
    <w:rsid w:val="00574CF7"/>
    <w:rsid w:val="00584632"/>
    <w:rsid w:val="00587E3F"/>
    <w:rsid w:val="00592DF7"/>
    <w:rsid w:val="005A13D0"/>
    <w:rsid w:val="005A5A20"/>
    <w:rsid w:val="005A5FC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6712"/>
    <w:rsid w:val="006B5AF0"/>
    <w:rsid w:val="006C2F33"/>
    <w:rsid w:val="006D0288"/>
    <w:rsid w:val="006E353A"/>
    <w:rsid w:val="006F63E6"/>
    <w:rsid w:val="00712832"/>
    <w:rsid w:val="0072351E"/>
    <w:rsid w:val="00725877"/>
    <w:rsid w:val="007412EF"/>
    <w:rsid w:val="0076742C"/>
    <w:rsid w:val="00790A8D"/>
    <w:rsid w:val="00794135"/>
    <w:rsid w:val="007A305F"/>
    <w:rsid w:val="007A379E"/>
    <w:rsid w:val="007A7407"/>
    <w:rsid w:val="007D0552"/>
    <w:rsid w:val="007F1DA1"/>
    <w:rsid w:val="007F6CE7"/>
    <w:rsid w:val="00801BDD"/>
    <w:rsid w:val="00814E66"/>
    <w:rsid w:val="008264D5"/>
    <w:rsid w:val="00831AC0"/>
    <w:rsid w:val="0083548B"/>
    <w:rsid w:val="0084390B"/>
    <w:rsid w:val="00870820"/>
    <w:rsid w:val="00877EA1"/>
    <w:rsid w:val="00894FBD"/>
    <w:rsid w:val="008A15B8"/>
    <w:rsid w:val="008C0252"/>
    <w:rsid w:val="008C0DBF"/>
    <w:rsid w:val="008C11E5"/>
    <w:rsid w:val="008D31B6"/>
    <w:rsid w:val="008E593B"/>
    <w:rsid w:val="00922921"/>
    <w:rsid w:val="00932C07"/>
    <w:rsid w:val="009340D6"/>
    <w:rsid w:val="00942321"/>
    <w:rsid w:val="00950B80"/>
    <w:rsid w:val="00975D03"/>
    <w:rsid w:val="009869CE"/>
    <w:rsid w:val="00993F77"/>
    <w:rsid w:val="009C0310"/>
    <w:rsid w:val="009D5C3F"/>
    <w:rsid w:val="009E5C5B"/>
    <w:rsid w:val="00A00EFE"/>
    <w:rsid w:val="00A15724"/>
    <w:rsid w:val="00A321EC"/>
    <w:rsid w:val="00A3604C"/>
    <w:rsid w:val="00A37031"/>
    <w:rsid w:val="00A37885"/>
    <w:rsid w:val="00A51700"/>
    <w:rsid w:val="00A7145F"/>
    <w:rsid w:val="00A72187"/>
    <w:rsid w:val="00A768B1"/>
    <w:rsid w:val="00A854DA"/>
    <w:rsid w:val="00A86A16"/>
    <w:rsid w:val="00A91F2A"/>
    <w:rsid w:val="00AA6DC7"/>
    <w:rsid w:val="00AB7B0D"/>
    <w:rsid w:val="00AC0434"/>
    <w:rsid w:val="00AC4C7B"/>
    <w:rsid w:val="00AC5FE7"/>
    <w:rsid w:val="00AD798F"/>
    <w:rsid w:val="00AE4BD2"/>
    <w:rsid w:val="00AF19A4"/>
    <w:rsid w:val="00AF2484"/>
    <w:rsid w:val="00B11BF5"/>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F84"/>
    <w:rsid w:val="00C12012"/>
    <w:rsid w:val="00C35B4A"/>
    <w:rsid w:val="00C37BBD"/>
    <w:rsid w:val="00C4377D"/>
    <w:rsid w:val="00C5711F"/>
    <w:rsid w:val="00C62D02"/>
    <w:rsid w:val="00C64D67"/>
    <w:rsid w:val="00C651B9"/>
    <w:rsid w:val="00C81572"/>
    <w:rsid w:val="00C8199C"/>
    <w:rsid w:val="00C8338E"/>
    <w:rsid w:val="00C84A5A"/>
    <w:rsid w:val="00C85ADF"/>
    <w:rsid w:val="00C86B6E"/>
    <w:rsid w:val="00C8705D"/>
    <w:rsid w:val="00C872A7"/>
    <w:rsid w:val="00C95632"/>
    <w:rsid w:val="00C95FB7"/>
    <w:rsid w:val="00CA1A7E"/>
    <w:rsid w:val="00CB2059"/>
    <w:rsid w:val="00CB4450"/>
    <w:rsid w:val="00CC133D"/>
    <w:rsid w:val="00CC179D"/>
    <w:rsid w:val="00CC18AB"/>
    <w:rsid w:val="00CD5945"/>
    <w:rsid w:val="00CF11DF"/>
    <w:rsid w:val="00CF660F"/>
    <w:rsid w:val="00D03A7A"/>
    <w:rsid w:val="00D0540D"/>
    <w:rsid w:val="00D20506"/>
    <w:rsid w:val="00D21F95"/>
    <w:rsid w:val="00D27F07"/>
    <w:rsid w:val="00D40240"/>
    <w:rsid w:val="00D42B8D"/>
    <w:rsid w:val="00D43678"/>
    <w:rsid w:val="00D609A2"/>
    <w:rsid w:val="00D745AE"/>
    <w:rsid w:val="00D904B1"/>
    <w:rsid w:val="00D962B0"/>
    <w:rsid w:val="00DA35E7"/>
    <w:rsid w:val="00DB2AE9"/>
    <w:rsid w:val="00DB3EF9"/>
    <w:rsid w:val="00DB50F1"/>
    <w:rsid w:val="00DC172F"/>
    <w:rsid w:val="00DC31A2"/>
    <w:rsid w:val="00DC3291"/>
    <w:rsid w:val="00DD0C8D"/>
    <w:rsid w:val="00DE3F4D"/>
    <w:rsid w:val="00DF0C4D"/>
    <w:rsid w:val="00E13766"/>
    <w:rsid w:val="00E1485A"/>
    <w:rsid w:val="00E231F3"/>
    <w:rsid w:val="00E23919"/>
    <w:rsid w:val="00E81973"/>
    <w:rsid w:val="00E90CF6"/>
    <w:rsid w:val="00E91B15"/>
    <w:rsid w:val="00EA1A73"/>
    <w:rsid w:val="00EA250C"/>
    <w:rsid w:val="00EA3398"/>
    <w:rsid w:val="00EA741A"/>
    <w:rsid w:val="00EE54B5"/>
    <w:rsid w:val="00EF01B0"/>
    <w:rsid w:val="00F14732"/>
    <w:rsid w:val="00F153A1"/>
    <w:rsid w:val="00F16FB5"/>
    <w:rsid w:val="00F1754A"/>
    <w:rsid w:val="00F17AB6"/>
    <w:rsid w:val="00F2274A"/>
    <w:rsid w:val="00F35C50"/>
    <w:rsid w:val="00F52112"/>
    <w:rsid w:val="00F71EFD"/>
    <w:rsid w:val="00F72439"/>
    <w:rsid w:val="00F74ABA"/>
    <w:rsid w:val="00F750DA"/>
    <w:rsid w:val="00F85FAE"/>
    <w:rsid w:val="00F9027B"/>
    <w:rsid w:val="00F90695"/>
    <w:rsid w:val="00F94CD2"/>
    <w:rsid w:val="00FA5CB4"/>
    <w:rsid w:val="00FC15FF"/>
    <w:rsid w:val="00FE2C51"/>
    <w:rsid w:val="00FF11F9"/>
    <w:rsid w:val="00FF1FE1"/>
    <w:rsid w:val="00FF4AD9"/>
    <w:rsid w:val="0F0B0280"/>
    <w:rsid w:val="30353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dot" w:pos="8296"/>
      </w:tabs>
    </w:pPr>
    <w:rPr>
      <w:rFonts w:ascii="仿宋_GB2312" w:eastAsia="仿宋_GB2312"/>
      <w:color w:val="000000" w:themeColor="text1"/>
      <w:sz w:val="28"/>
      <w:szCs w:val="2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uiPriority w:val="9"/>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customStyle="1" w:styleId="12">
    <w:name w:val="修订1"/>
    <w:hidden/>
    <w:uiPriority w:val="99"/>
    <w:semiHidden/>
    <w:rPr>
      <w:kern w:val="2"/>
      <w:sz w:val="21"/>
      <w:szCs w:val="22"/>
    </w:rPr>
  </w:style>
  <w:style w:type="character" w:customStyle="1" w:styleId="Char1">
    <w:name w:val="批注框文本 Char"/>
    <w:basedOn w:val="a0"/>
    <w:link w:val="a5"/>
    <w:uiPriority w:val="99"/>
    <w:semiHidden/>
    <w:rPr>
      <w:sz w:val="18"/>
      <w:szCs w:val="18"/>
    </w:rPr>
  </w:style>
  <w:style w:type="character" w:customStyle="1" w:styleId="3Char">
    <w:name w:val="标题 3 Char"/>
    <w:basedOn w:val="a0"/>
    <w:link w:val="3"/>
    <w:uiPriority w:val="9"/>
    <w:semiHidden/>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dot" w:pos="8296"/>
      </w:tabs>
    </w:pPr>
    <w:rPr>
      <w:rFonts w:ascii="仿宋_GB2312" w:eastAsia="仿宋_GB2312"/>
      <w:color w:val="000000" w:themeColor="text1"/>
      <w:sz w:val="28"/>
      <w:szCs w:val="2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uiPriority w:val="9"/>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customStyle="1" w:styleId="12">
    <w:name w:val="修订1"/>
    <w:hidden/>
    <w:uiPriority w:val="99"/>
    <w:semiHidden/>
    <w:rPr>
      <w:kern w:val="2"/>
      <w:sz w:val="21"/>
      <w:szCs w:val="22"/>
    </w:rPr>
  </w:style>
  <w:style w:type="character" w:customStyle="1" w:styleId="Char1">
    <w:name w:val="批注框文本 Char"/>
    <w:basedOn w:val="a0"/>
    <w:link w:val="a5"/>
    <w:uiPriority w:val="99"/>
    <w:semiHidden/>
    <w:rPr>
      <w:sz w:val="18"/>
      <w:szCs w:val="18"/>
    </w:rPr>
  </w:style>
  <w:style w:type="character" w:customStyle="1" w:styleId="3Char">
    <w:name w:val="标题 3 Char"/>
    <w:basedOn w:val="a0"/>
    <w:link w:val="3"/>
    <w:uiPriority w:val="9"/>
    <w:semiHidden/>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1344;&#20840;&#29699;&#30340;&#20221;&#39069;&#20174;2003&#24180;&#30340;5.62@&#22686;&#38271;&#33267;2014&#24180;&#3034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0E1DA-78A6-4A8E-9952-D32F8F9C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709</Words>
  <Characters>4047</Characters>
  <Application>Microsoft Office Word</Application>
  <DocSecurity>0</DocSecurity>
  <Lines>33</Lines>
  <Paragraphs>9</Paragraphs>
  <ScaleCrop>false</ScaleCrop>
  <Company>MS</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28</cp:revision>
  <dcterms:created xsi:type="dcterms:W3CDTF">2016-04-06T08:29:00Z</dcterms:created>
  <dcterms:modified xsi:type="dcterms:W3CDTF">2016-05-04T02:43:00Z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